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
              <w:t>28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
              <w:t>Not provided</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r>
              <w:t>Global Fuel Prices and Taxation Trends (2020–2026)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The Tableau dashboard presents fuel-price and estimated taxation/subsidy measures using simulated demonstration data. It is designed to help viewers compare trends, countries, regions, quarters, and income groups without treating the displayed values as verified real-world statistics.</w:t>
      </w:r>
      <w:r w:rsidDel="00000000" w:rsidR="00000000" w:rsidRPr="00000000">
        <w:rPr>
          <w:rFonts w:ascii="Cambria" w:cs="Cambria" w:eastAsia="Cambria" w:hAnsi="Cambria"/>
          <w:b w:val="1"/>
          <w:bCs w:val="1"/>
          <w:color w:val="000000"/>
          <w:sz w:val="24"/>
          <w:szCs w:val="24"/>
          <w:highlight w:val="white"/>
          <w:rtl w:val="0"/>
        </w:rPr>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rPr>
          <w:rFonts w:ascii="Arial" w:cs="Arial" w:eastAsia="Arial" w:hAnsi="Arial"/>
          <w:sz w:val="20"/>
          <w:szCs w:val="20"/>
        </w:rPr>
      </w:pPr>
      <w:r w:rsidDel="00000000" w:rsidR="00000000" w:rsidRPr="00000000">
        <w:rPr/>
        <w:drawing>
          <wp:inline distB="114300" distT="114300" distL="114300" distR="114300">
            <wp:extent cx="5731200" cy="28575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Major dashboard design outcomes</w:t>
      </w:r>
      <w:r w:rsidDel="00000000" w:rsidR="00000000" w:rsidRPr="00000000">
        <w:rPr>
          <w:rFonts w:ascii="Arial" w:cs="Arial" w:eastAsia="Arial" w:hAnsi="Arial"/>
          <w:sz w:val="20"/>
          <w:szCs w:val="20"/>
          <w:rtl w:val="0"/>
        </w:rPr>
      </w:r>
    </w:p>
    <w:p w:rsidR="00000000" w:rsidDel="00000000" w:rsidP="00000000" w:rsidRDefault="00000000" w:rsidRPr="00000000" w14:paraId="0000001A">
      <w:pPr>
        <w:spacing w:after="200" w:line="240" w:lineRule="auto"/>
        <w:rPr/>
      </w:pPr>
      <w:r w:rsidDel="00000000" w:rsidR="00000000" w:rsidRPr="00000000">
        <w:rPr>
          <w:rtl w:val="0"/>
        </w:rPr>
        <w:t>Project-specific design outcomes</w:t>
      </w:r>
    </w:p>
    <w:p w:rsidR="00000000" w:rsidDel="00000000" w:rsidP="00000000" w:rsidRDefault="00000000" w:rsidRPr="00000000" w14:paraId="0000001B">
      <w:pPr>
        <w:spacing w:after="200" w:line="240" w:lineRule="auto"/>
        <w:rPr/>
      </w:pPr>
      <w:r w:rsidDel="00000000" w:rsidR="00000000" w:rsidRPr="00000000">
        <w:rPr>
          <w:rtl w:val="0"/>
        </w:rPr>
        <w:t>Clear structure: The dashboard brings together nine views covering fuel-price trends, country ranking, quarterly patterns, regional comparisons, tax shares, subsidy shares, and income-group comparisons.</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Appropriate chart selection: Trend charts support year/quarter comparisons, ranked bars support country comparisons, and comparative views support exploration of estimated tax and subsidy measures.</w:t>
      </w:r>
      <w:r w:rsidDel="00000000" w:rsidR="00000000" w:rsidRPr="00000000">
        <w:rPr>
          <w:rtl w:val="0"/>
        </w:rPr>
      </w:r>
      <w:r w:rsidDel="00000000" w:rsidR="00000000" w:rsidRPr="00000000">
        <w:rPr>
          <w:rtl w:val="0"/>
        </w:rPr>
      </w:r>
    </w:p>
    <w:p w:rsidR="00000000" w:rsidDel="00000000" w:rsidP="00000000" w:rsidRDefault="00000000" w:rsidRPr="00000000" w14:paraId="0000001D">
      <w:pPr>
        <w:numPr>
          <w:ilvl w:val="0"/>
          <w:numId w:val="1"/>
        </w:numPr>
        <w:spacing w:after="0" w:before="0" w:line="240" w:lineRule="auto"/>
        <w:ind w:left="720" w:hanging="360"/>
        <w:rPr>
          <w:u w:val="none"/>
        </w:rPr>
      </w:pPr>
      <w:r w:rsidDel="00000000" w:rsidR="00000000" w:rsidRPr="00000000">
        <w:rPr>
          <w:b w:val="1"/>
          <w:bCs w:val="1"/>
          <w:rtl w:val="0"/>
        </w:rPr>
        <w:t>Consistent terminology: Labels distinguish fuel price (USD per litre) from estimated tax-share and subsidy-share percentages.</w:t>
      </w:r>
      <w:r w:rsidDel="00000000" w:rsidR="00000000" w:rsidRPr="00000000">
        <w:rPr>
          <w:rtl w:val="0"/>
        </w:rPr>
      </w:r>
      <w:r w:rsidDel="00000000" w:rsidR="00000000" w:rsidRPr="00000000">
        <w:rPr>
          <w:rtl w:val="0"/>
        </w:rPr>
      </w:r>
    </w:p>
    <w:p w:rsidR="00000000" w:rsidDel="00000000" w:rsidP="00000000" w:rsidRDefault="00000000" w:rsidRPr="00000000" w14:paraId="0000001E">
      <w:pPr>
        <w:numPr>
          <w:ilvl w:val="0"/>
          <w:numId w:val="1"/>
        </w:numPr>
        <w:spacing w:after="0" w:before="0" w:line="240" w:lineRule="auto"/>
        <w:ind w:left="720" w:hanging="360"/>
        <w:rPr>
          <w:u w:val="none"/>
        </w:rPr>
      </w:pPr>
      <w:r w:rsidDel="00000000" w:rsidR="00000000" w:rsidRPr="00000000">
        <w:rPr>
          <w:b w:val="1"/>
          <w:bCs w:val="1"/>
          <w:rtl w:val="0"/>
        </w:rPr>
        <w:t>Filter-led exploration: Where configured in Tableau, filters for year, quarter, country, region, fuel type, and income group allow users to narrow displayed comparisons.</w:t>
      </w:r>
      <w:r w:rsidDel="00000000" w:rsidR="00000000" w:rsidRPr="00000000">
        <w:rPr>
          <w:rtl w:val="0"/>
        </w:rPr>
      </w:r>
      <w:r w:rsidDel="00000000" w:rsidR="00000000" w:rsidRPr="00000000">
        <w:rPr>
          <w:rtl w:val="0"/>
        </w:rPr>
      </w:r>
    </w:p>
    <w:p w:rsidR="00000000" w:rsidDel="00000000" w:rsidP="00000000" w:rsidRDefault="00000000" w:rsidRPr="00000000" w14:paraId="0000001F">
      <w:pPr>
        <w:numPr>
          <w:ilvl w:val="0"/>
          <w:numId w:val="1"/>
        </w:numPr>
        <w:spacing w:after="0" w:before="0" w:line="240" w:lineRule="auto"/>
        <w:ind w:left="720" w:hanging="360"/>
        <w:rPr>
          <w:u w:val="none"/>
        </w:rPr>
      </w:pPr>
      <w:r w:rsidDel="00000000" w:rsidR="00000000" w:rsidRPr="00000000">
        <w:rPr>
          <w:b w:val="1"/>
          <w:bCs w:val="1"/>
          <w:rtl w:val="0"/>
        </w:rPr>
        <w:t>Readable presentation: Titles, axis labels, units, and legends should be clear and consistent so each metric can be understood quickly.</w:t>
      </w:r>
      <w:r w:rsidDel="00000000" w:rsidR="00000000" w:rsidRPr="00000000">
        <w:rPr>
          <w:rtl w:val="0"/>
        </w:rPr>
      </w:r>
      <w:r w:rsidDel="00000000" w:rsidR="00000000" w:rsidRPr="00000000">
        <w:rPr>
          <w:rtl w:val="0"/>
        </w:rPr>
      </w:r>
    </w:p>
    <w:p w:rsidR="00000000" w:rsidDel="00000000" w:rsidP="00000000" w:rsidRDefault="00000000" w:rsidRPr="00000000" w14:paraId="00000020">
      <w:pPr>
        <w:numPr>
          <w:ilvl w:val="0"/>
          <w:numId w:val="1"/>
        </w:numPr>
        <w:spacing w:after="240" w:before="0" w:line="240" w:lineRule="auto"/>
        <w:ind w:left="720" w:hanging="360"/>
        <w:rPr>
          <w:u w:val="none"/>
        </w:rPr>
      </w:pPr>
      <w:r w:rsidDel="00000000" w:rsidR="00000000" w:rsidRPr="00000000">
        <w:rPr>
          <w:b w:val="1"/>
          <w:bCs w:val="1"/>
          <w:rtl w:val="0"/>
        </w:rPr>
        <w:t>Responsible interpretation: The dashboard and documentation should state that values are simulated demonstration data, not verified historical data.</w:t>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rtl w:val="0"/>
        </w:rPr>
      </w:r>
    </w:p>
    <w:p w:rsidR="00000000" w:rsidDel="00000000" w:rsidP="00000000" w:rsidRDefault="00000000" w:rsidRPr="00000000" w14:paraId="00000021">
      <w:pPr>
        <w:spacing w:after="240" w:before="240" w:line="240" w:lineRule="auto"/>
        <w:rPr/>
      </w:pPr>
      <w:r w:rsidDel="00000000" w:rsidR="00000000" w:rsidRPr="00000000">
        <w:rPr>
          <w:rtl w:val="0"/>
        </w:rPr>
        <w:t>Overall outcome: The dashboard demonstrates how a multi-view Tableau report can organize fuel-price and taxation-related questions into one exploratory experience.</w:t>
      </w:r>
    </w:p>
    <w:p w:rsidR="00000000" w:rsidDel="00000000" w:rsidP="00000000" w:rsidRDefault="00000000" w:rsidRPr="00000000" w14:paraId="00000022">
      <w:pPr>
        <w:spacing w:after="240" w:before="240" w:line="240" w:lineRule="auto"/>
        <w:rPr/>
      </w:pPr>
      <w:r w:rsidDel="00000000" w:rsidR="00000000" w:rsidRPr="00000000">
        <w:rPr>
          <w:rtl w:val="0"/>
        </w:rPr>
      </w:r>
    </w:p>
    <w:p w:rsidR="00000000" w:rsidDel="00000000" w:rsidP="00000000" w:rsidRDefault="00000000" w:rsidRPr="00000000" w14:paraId="00000023">
      <w:pPr>
        <w:spacing w:after="200" w:line="240" w:lineRule="auto"/>
        <w:rPr>
          <w:b w:val="1"/>
          <w:bCs w:val="1"/>
          <w:sz w:val="28"/>
          <w:szCs w:val="28"/>
        </w:rPr>
      </w:pPr>
      <w:r w:rsidDel="00000000" w:rsidR="00000000" w:rsidRPr="00000000">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sidDel="00000000" w:rsidR="00000000" w:rsidRPr="00000000">
        <w:rPr>
          <w:sz w:val="28"/>
          <w:szCs w:val="28"/>
          <w:rtl w:val="0"/>
        </w:rPr>
        <w:t xml:space="preserve">Publish Dashboard on Tableau Public and Paste the Dashboard Public link below:</w:t>
      </w:r>
    </w:p>
    <w:p w:rsidR="00000000" w:rsidDel="00000000" w:rsidP="00000000" w:rsidRDefault="00000000" w:rsidRPr="00000000" w14:paraId="00000025">
      <w:pPr>
        <w:spacing w:after="200" w:line="240" w:lineRule="auto"/>
        <w:rPr>
          <w:sz w:val="28"/>
          <w:szCs w:val="28"/>
        </w:rPr>
      </w:pPr>
      <w:r w:rsidDel="00000000" w:rsidR="00000000" w:rsidRPr="00000000">
        <w:rPr>
          <w:sz w:val="28"/>
          <w:szCs w:val="28"/>
          <w:rtl w:val="0"/>
        </w:rPr>
        <w:t xml:space="preserve">Example</w:t>
      </w:r>
    </w:p>
    <w:p w:rsidR="00000000" w:rsidDel="00000000" w:rsidP="00000000" w:rsidRDefault="00000000" w:rsidRPr="00000000" w14:paraId="00000026">
      <w:pPr>
        <w:spacing w:after="200" w:line="240" w:lineRule="auto"/>
        <w:rPr>
          <w:sz w:val="28"/>
          <w:szCs w:val="28"/>
        </w:rPr>
      </w:pPr>
      <w:hyperlink r:id="rId9">
        <w:r w:rsidDel="00000000" w:rsidR="00000000" w:rsidRPr="00000000">
          <w:rPr>
            <w:color w:val="1155cc"/>
            <w:sz w:val="28"/>
            <w:szCs w:val="28"/>
            <w:u w:val="single"/>
            <w:rtl w:val="0"/>
          </w:rPr>
          <w:t xml:space="preserve">https://public.tableau.com/views/SalesDashboard_17247660582000/Dashboard1?:language=en-US&amp;publish=yes&amp;:sid=&amp;:redirect=auth&amp;:display_count=n&amp;:origin=viz_share_link</w:t>
        </w:r>
      </w:hyperlink>
      <w:r w:rsidDel="00000000" w:rsidR="00000000" w:rsidRPr="00000000">
        <w:rPr>
          <w:sz w:val="28"/>
          <w:szCs w:val="28"/>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