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40"/>
            </w:pPr>
            <w:r/>
            <w:r>
              <w:rPr>
                <w:b w:val="0"/>
                <w:sz w:val="17"/>
              </w:rP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40"/>
            </w:pPr>
            <w:r/>
            <w:r>
              <w:rPr>
                <w:b w:val="0"/>
                <w:sz w:val="17"/>
              </w:rPr>
              <w:t>Individual project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pPr>
            <w:r/>
            <w:r>
              <w:rPr>
                <w:b w:val="0"/>
                <w:sz w:val="17"/>
              </w:rPr>
              <w:t>Global Fuel Prices and Taxation Trends (2020–2026)</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40"/>
            </w:pPr>
            <w:r/>
            <w:r>
              <w:rPr>
                <w:b w:val="0"/>
                <w:sz w:val="17"/>
              </w:rPr>
              <w:t>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rPr>
          <w:b/>
        </w:rPr>
        <w:t xml:space="preserve">Prepared by: </w:t>
      </w:r>
      <w:r>
        <w:t>Siddhi Shrivastava</w:t>
      </w:r>
    </w:p>
    <w:p>
      <w:r>
        <w:rPr>
          <w:b/>
        </w:rPr>
        <w:t>Project Empathy Map: Users of the Fuel Price Dashboard</w:t>
      </w:r>
    </w:p>
    <w:p>
      <w:r>
        <w:t>Primary users: energy policy analysts, logistics/supply-chain managers, researchers, and students. This map represents a project-planning hypothesis about user needs, not findings from formal interviews.</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fill="EAF3F8"/>
          </w:tcPr>
          <w:p>
            <w:r/>
            <w:r>
              <w:rPr>
                <w:b/>
                <w:color w:val="1F4E79"/>
                <w:sz w:val="20"/>
              </w:rPr>
              <w:t>SAYS</w:t>
              <w:br/>
            </w:r>
            <w:r>
              <w:rPr>
                <w:sz w:val="17"/>
              </w:rPr>
              <w:t>“I need to compare fuel prices across countries and regions.”</w:t>
              <w:br/>
              <w:t>“I want to understand differences in taxes and subsidies.”</w:t>
            </w:r>
          </w:p>
        </w:tc>
        <w:tc>
          <w:tcPr>
            <w:tcW w:type="dxa" w:w="4513"/>
            <w:vAlign w:val="center"/>
            <w:shd w:fill="F4F7FA"/>
          </w:tcPr>
          <w:p>
            <w:r/>
            <w:r>
              <w:rPr>
                <w:b/>
                <w:color w:val="1F4E79"/>
                <w:sz w:val="20"/>
              </w:rPr>
              <w:t>THINKS</w:t>
              <w:br/>
            </w:r>
            <w:r>
              <w:rPr>
                <w:sz w:val="17"/>
              </w:rPr>
              <w:t>“Are patterns consistent across years and fuel types?”</w:t>
              <w:br/>
              <w:t>“Are units and data definitions clear?”</w:t>
            </w:r>
          </w:p>
        </w:tc>
      </w:tr>
      <w:tr>
        <w:tc>
          <w:tcPr>
            <w:tcW w:type="dxa" w:w="4513"/>
            <w:vAlign w:val="center"/>
            <w:shd w:fill="EAF3F8"/>
          </w:tcPr>
          <w:p>
            <w:r/>
            <w:r>
              <w:rPr>
                <w:b/>
                <w:color w:val="1F4E79"/>
                <w:sz w:val="20"/>
              </w:rPr>
              <w:t>DOES</w:t>
              <w:br/>
            </w:r>
            <w:r>
              <w:rPr>
                <w:sz w:val="17"/>
              </w:rPr>
              <w:t>Uses year, region, fuel-type, and income-group filters; compares charts and country rankings.</w:t>
            </w:r>
          </w:p>
        </w:tc>
        <w:tc>
          <w:tcPr>
            <w:tcW w:type="dxa" w:w="4513"/>
            <w:vAlign w:val="center"/>
            <w:shd w:fill="F4F7FA"/>
          </w:tcPr>
          <w:p>
            <w:r/>
            <w:r>
              <w:rPr>
                <w:b/>
                <w:color w:val="1F4E79"/>
                <w:sz w:val="20"/>
              </w:rPr>
              <w:t>FEELS</w:t>
              <w:br/>
            </w:r>
            <w:r>
              <w:rPr>
                <w:sz w:val="17"/>
              </w:rPr>
              <w:t>May feel overwhelmed by large tables; prefers clear visuals and transparent limitations.</w:t>
            </w:r>
          </w:p>
        </w:tc>
      </w:tr>
      <w:tr>
        <w:tc>
          <w:tcPr>
            <w:tcW w:type="dxa" w:w="4513"/>
            <w:vAlign w:val="center"/>
            <w:shd w:fill="EAF3F8"/>
          </w:tcPr>
          <w:p>
            <w:r/>
            <w:r>
              <w:rPr>
                <w:b/>
                <w:color w:val="1F4E79"/>
                <w:sz w:val="20"/>
              </w:rPr>
              <w:t>PAINS</w:t>
              <w:br/>
            </w:r>
            <w:r>
              <w:rPr>
                <w:sz w:val="17"/>
              </w:rPr>
              <w:t>Comparisons can be time-consuming; measures and units may be unclear; verified data may be hard to locate.</w:t>
            </w:r>
          </w:p>
        </w:tc>
        <w:tc>
          <w:tcPr>
            <w:tcW w:type="dxa" w:w="4513"/>
            <w:vAlign w:val="center"/>
            <w:shd w:fill="F4F7FA"/>
          </w:tcPr>
          <w:p>
            <w:r/>
            <w:r>
              <w:rPr>
                <w:b/>
                <w:color w:val="1F4E79"/>
                <w:sz w:val="20"/>
              </w:rPr>
              <w:t>GAINS</w:t>
              <w:br/>
            </w:r>
            <w:r>
              <w:rPr>
                <w:sz w:val="17"/>
              </w:rPr>
              <w:t>Faster comparisons, visible trends, interactive exploration, and a starting point for deeper analysis.</w:t>
            </w:r>
          </w:p>
        </w:tc>
      </w:tr>
    </w:tbl>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