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Global Fuel Prices and Taxation Trends (2020–2026)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an interactive Tableau dashboard for exploring and comparing displayed fuel-price, estimated tax-share, and estimated subsidy-share patterns across countries, regions, years, fuel types, and income groups.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Includes the supplied CSV demonstration data, Tableau worksheets, nine dashboard visualizations, available filters, and project documentation. It does not verify real-world fuel prices or provide policy recommendations based on verified data.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Comparing fuel-price and taxation measures can be difficult when they are shown in separate tables or static charts. Users need a consolidated view to explore trends, country rankings, regional differences, and relationships between displayed measures.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consolidated dashboard makes the supplied data easier to explore and demonstrates data-visualization skills. Because values are simulated, it must not be used for real-world decisions.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Connect the CSV data to Tableau, review field types and aggregations, create worksheets, assemble the dashboard, check labels and filters, and document limitations. Use GitHub to share project assets.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Nine views: fuel price trends, country ranking, quarterly trends, regional comparison, regional tax comparison, subsidy vs fuel price, tax analysis, tax share by income group, and taxation vs subsidies.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Standard laptop or desktop; no dedicated GPU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Local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Processing handled by Tableau Public and the user's computer.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Meet current Tableau Public requirements; more memory helps with larger workbooks.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Project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Store CSV data, Tableau workbook, screenshots, and documentation locally and in GitHub.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Tableau Public, web browser, GitHub.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Dashboard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Tableau worksheets, dashboards, calculated fields, filters, and chart interactions.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Companion website, if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HTML, CSS, JavaScript, and Chart.js.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Editing and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Tableau Public, Microsoft Word, browser, GitHub repository.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CSV demonstration dataset and data dictionary supplied with the project; values are simulated, not verified historical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Prepared by: </w:t>
      </w:r>
      <w:r>
        <w:t>Siddhi Shrivastava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