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t>Tableau Story Design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Global Fuel Prices and Taxation Trends (2020–2026)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A Tableau story can guide viewers through the Global Fuel Prices and Taxation Trends dashboard in a logical sequence: begin with overall price trends, compare countries and regions, and then explore estimated tax and subsidy measures.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>Suggested story sequence: (1) introduce the dataset and its limitations; (2) review fuel-price trends over time and by quarter; (3) compare countries and regions; (4) examine estimated tax-share patterns; (5) compare estimated tax and subsidy shares; and (6) close with interpretation cautions and possible next steps.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>Suggested story points and observations to discuss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Fuel-price trend view: Describe the pattern shown by the simulated data; do not generalize it to actual market history.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Quarterly view: Compare quarters to demonstrate how a user might inspect within-year variation in the sample dataset.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Country and regional comparisons: Use ranking and regional views to identify higher or lower entries in the displayed sample, noting that rankings are illustrative.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Tax and subsidy views: Compare estimated tax-share and subsidy-share fields to demonstrate how fiscal measures could be explored together; do not infer real policy effects from simulated values.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>Activity 2: Publish the completed Tableau story to Tableau Public if required and permitted. Paste the actual public URL below only after publication.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>Tableau Public link: [Add your published Tableau Story URL here]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>Data disclaimer: The dataset values are simulated demonstration data and are not verified real-world statistics.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