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Critical Thinking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Chapter 10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#1  -  #6,  #8,  #13 - #15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GUI is the visual part of a program that allows users to interact with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an event-driven application, the code waits for the user to do something, such as clicking a button.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 components can be added directly to a frame. The frame is like a big box that holds all of the components.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 a Label can respond to events. For example, a text or picture can change inside a label if the code allows the user to do so by the click of a button.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GUI needs to be ran on an event- dispatching thread as a thread allows for the code to be ran from start to finish.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label is meant to display text, and a button is interactive and responds when a user clicks it.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      8. </w:t>
        <w:tab/>
        <w:t xml:space="preserve">FlowLayout manager, BoxLayout manager, and GridLayout manager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     13. </w:t>
        <w:tab/>
        <w:t xml:space="preserve">It has to be converted from a String to a numeric data type.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     14. </w:t>
        <w:tab/>
        <w:t xml:space="preserve">8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    15.</w:t>
        <w:tab/>
        <w:t xml:space="preserve">A comboBox is better because it gives them choices.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