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Merriweather" w:cs="Merriweather" w:eastAsia="Merriweather" w:hAnsi="Merriweather"/>
          <w:sz w:val="34"/>
          <w:szCs w:val="34"/>
        </w:rPr>
      </w:pPr>
      <w:r w:rsidDel="00000000" w:rsidR="00000000" w:rsidRPr="00000000">
        <w:rPr>
          <w:rFonts w:ascii="Merriweather" w:cs="Merriweather" w:eastAsia="Merriweather" w:hAnsi="Merriweather"/>
          <w:sz w:val="34"/>
          <w:szCs w:val="34"/>
          <w:rtl w:val="0"/>
        </w:rPr>
        <w:t xml:space="preserve">Incorrect Ciphertext Output in Permutation Cipher Implementation: </w:t>
      </w:r>
    </w:p>
    <w:p w:rsidR="00000000" w:rsidDel="00000000" w:rsidP="00000000" w:rsidRDefault="00000000" w:rsidRPr="00000000" w14:paraId="00000002">
      <w:pPr>
        <w:spacing w:after="240" w:before="240" w:lineRule="auto"/>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0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A flaw was identified in the implementation of a permutation cipher, where the plaintext “MEETMELATER” was encrypted using the key [2 3 5 4 1]. The system incorrectly permuted the characters in each block, leading to potential confusion about how the key should be interpreted. While the cipher is theoretical and does not impact security in this scenario, such inconsistencies can undermine correctness in cryptographic teaching tools or training software.</w:t>
      </w:r>
    </w:p>
    <w:p w:rsidR="00000000" w:rsidDel="00000000" w:rsidP="00000000" w:rsidRDefault="00000000" w:rsidRPr="00000000" w14:paraId="00000004">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Affected Component:</w:t>
      </w:r>
    </w:p>
    <w:p w:rsidR="00000000" w:rsidDel="00000000" w:rsidP="00000000" w:rsidRDefault="00000000" w:rsidRPr="00000000" w14:paraId="00000005">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The permutation mapping logic in the cipher’s encryption module.</w:t>
        <w:br w:type="textWrapping"/>
        <w:t xml:space="preserve">Specifically, the part of the implementation that interprets the key to reorder plaintext characters into ciphertext.</w:t>
      </w:r>
    </w:p>
    <w:p w:rsidR="00000000" w:rsidDel="00000000" w:rsidP="00000000" w:rsidRDefault="00000000" w:rsidRPr="00000000" w14:paraId="00000006">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Description of the Issue:</w:t>
      </w:r>
    </w:p>
    <w:p w:rsidR="00000000" w:rsidDel="00000000" w:rsidP="00000000" w:rsidRDefault="00000000" w:rsidRPr="00000000" w14:paraId="00000007">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Permutation ciphers divide plaintext into fixed-size blocks and reorder the letters based on a key. The key [2 3 5 4 1] should be interpreted to mean that the ciphertext is formed by reading plaintext characters at positions 2, 3, 5, 4, and 1, in that order.</w:t>
      </w:r>
    </w:p>
    <w:p w:rsidR="00000000" w:rsidDel="00000000" w:rsidP="00000000" w:rsidRDefault="00000000" w:rsidRPr="00000000" w14:paraId="00000008">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However, if the implementation mistakenly interprets the key as output positions (instead of read order), the ciphertext becomes inconsistent. This ambiguity highlights a flaw in specification clarity and potential for incorrect results in cryptography practice exercises.</w:t>
      </w:r>
    </w:p>
    <w:p w:rsidR="00000000" w:rsidDel="00000000" w:rsidP="00000000" w:rsidRDefault="00000000" w:rsidRPr="00000000" w14:paraId="00000009">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0A">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B">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0C">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D">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0E">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Steps to Reproduce: </w:t>
      </w:r>
    </w:p>
    <w:p w:rsidR="00000000" w:rsidDel="00000000" w:rsidP="00000000" w:rsidRDefault="00000000" w:rsidRPr="00000000" w14:paraId="0000000F">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Plaintext: MEETMELATER (11 letters)</w:t>
        <w:br w:type="textWrapping"/>
        <w:t xml:space="preserve">Key: [2 3 5 4 1]</w:t>
      </w:r>
    </w:p>
    <w:p w:rsidR="00000000" w:rsidDel="00000000" w:rsidP="00000000" w:rsidRDefault="00000000" w:rsidRPr="00000000" w14:paraId="00000010">
      <w:pPr>
        <w:spacing w:after="240" w:before="240" w:lineRule="auto"/>
        <w:ind w:left="1080" w:hanging="36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Set up columns and key order</w:t>
      </w:r>
    </w:p>
    <w:p w:rsidR="00000000" w:rsidDel="00000000" w:rsidP="00000000" w:rsidRDefault="00000000" w:rsidRPr="00000000" w14:paraId="00000011">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o Assign the key numbers to columns:</w:t>
      </w:r>
    </w:p>
    <w:p w:rsidR="00000000" w:rsidDel="00000000" w:rsidP="00000000" w:rsidRDefault="00000000" w:rsidRPr="00000000" w14:paraId="00000012">
      <w:pPr>
        <w:spacing w:after="240" w:before="240" w:lineRule="auto"/>
        <w:ind w:left="252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 C1 → 2</w:t>
      </w:r>
    </w:p>
    <w:p w:rsidR="00000000" w:rsidDel="00000000" w:rsidP="00000000" w:rsidRDefault="00000000" w:rsidRPr="00000000" w14:paraId="00000013">
      <w:pPr>
        <w:spacing w:after="240" w:before="240" w:lineRule="auto"/>
        <w:ind w:left="252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 C2 → 3</w:t>
      </w:r>
    </w:p>
    <w:p w:rsidR="00000000" w:rsidDel="00000000" w:rsidP="00000000" w:rsidRDefault="00000000" w:rsidRPr="00000000" w14:paraId="00000014">
      <w:pPr>
        <w:spacing w:after="240" w:before="240" w:lineRule="auto"/>
        <w:ind w:left="252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 C3 → 5</w:t>
      </w:r>
    </w:p>
    <w:p w:rsidR="00000000" w:rsidDel="00000000" w:rsidP="00000000" w:rsidRDefault="00000000" w:rsidRPr="00000000" w14:paraId="00000015">
      <w:pPr>
        <w:spacing w:after="240" w:before="240" w:lineRule="auto"/>
        <w:ind w:left="252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 C4 → 4</w:t>
      </w:r>
    </w:p>
    <w:p w:rsidR="00000000" w:rsidDel="00000000" w:rsidP="00000000" w:rsidRDefault="00000000" w:rsidRPr="00000000" w14:paraId="00000016">
      <w:pPr>
        <w:spacing w:after="240" w:before="240" w:lineRule="auto"/>
        <w:ind w:left="252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 C5 → 1</w:t>
      </w:r>
    </w:p>
    <w:p w:rsidR="00000000" w:rsidDel="00000000" w:rsidP="00000000" w:rsidRDefault="00000000" w:rsidRPr="00000000" w14:paraId="00000017">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o The read-out order is ascending by key value: C5, C1, C2, C4, C3.</w:t>
      </w:r>
    </w:p>
    <w:p w:rsidR="00000000" w:rsidDel="00000000" w:rsidP="00000000" w:rsidRDefault="00000000" w:rsidRPr="00000000" w14:paraId="00000018">
      <w:pPr>
        <w:spacing w:after="240" w:before="240" w:lineRule="auto"/>
        <w:ind w:left="36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Write plaintext row-wise across the 5 columns (no padding):</w:t>
      </w:r>
    </w:p>
    <w:tbl>
      <w:tblPr>
        <w:tblStyle w:val="Table1"/>
        <w:tblW w:w="8669.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33.8"/>
        <w:gridCol w:w="1733.8"/>
        <w:gridCol w:w="1733.8"/>
        <w:gridCol w:w="1733.8"/>
        <w:gridCol w:w="1733.8"/>
        <w:tblGridChange w:id="0">
          <w:tblGrid>
            <w:gridCol w:w="1733.8"/>
            <w:gridCol w:w="1733.8"/>
            <w:gridCol w:w="1733.8"/>
            <w:gridCol w:w="1733.8"/>
            <w:gridCol w:w="1733.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C5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Merriweather" w:cs="Merriweather" w:eastAsia="Merriweather" w:hAnsi="Merriweather"/>
                <w:color w:val="434343"/>
                <w:sz w:val="24"/>
                <w:szCs w:val="24"/>
              </w:rPr>
            </w:pPr>
            <w:r w:rsidDel="00000000" w:rsidR="00000000" w:rsidRPr="00000000">
              <w:rPr>
                <w:rtl w:val="0"/>
              </w:rPr>
            </w:r>
          </w:p>
        </w:tc>
      </w:tr>
    </w:tbl>
    <w:p w:rsidR="00000000" w:rsidDel="00000000" w:rsidP="00000000" w:rsidRDefault="00000000" w:rsidRPr="00000000" w14:paraId="0000002D">
      <w:pPr>
        <w:spacing w:after="240" w:before="240" w:lineRule="auto"/>
        <w:ind w:left="360" w:firstLine="0"/>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2E">
      <w:pPr>
        <w:spacing w:after="240" w:before="240" w:lineRule="auto"/>
        <w:ind w:left="360" w:firstLine="0"/>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Read columns in key order, top to bottom:</w:t>
      </w:r>
    </w:p>
    <w:p w:rsidR="00000000" w:rsidDel="00000000" w:rsidP="00000000" w:rsidRDefault="00000000" w:rsidRPr="00000000" w14:paraId="0000002F">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o C5 → M E = ME</w:t>
      </w:r>
    </w:p>
    <w:p w:rsidR="00000000" w:rsidDel="00000000" w:rsidP="00000000" w:rsidRDefault="00000000" w:rsidRPr="00000000" w14:paraId="00000030">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o C1 → M E R = MER</w:t>
      </w:r>
    </w:p>
    <w:p w:rsidR="00000000" w:rsidDel="00000000" w:rsidP="00000000" w:rsidRDefault="00000000" w:rsidRPr="00000000" w14:paraId="00000031">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o C2 → E L = EL</w:t>
      </w:r>
    </w:p>
    <w:p w:rsidR="00000000" w:rsidDel="00000000" w:rsidP="00000000" w:rsidRDefault="00000000" w:rsidRPr="00000000" w14:paraId="00000032">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o C4 → T T = TT</w:t>
      </w:r>
    </w:p>
    <w:p w:rsidR="00000000" w:rsidDel="00000000" w:rsidP="00000000" w:rsidRDefault="00000000" w:rsidRPr="00000000" w14:paraId="00000033">
      <w:pPr>
        <w:spacing w:after="240" w:before="240" w:lineRule="auto"/>
        <w:ind w:left="180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o C3 → E A = EA</w:t>
      </w:r>
    </w:p>
    <w:p w:rsidR="00000000" w:rsidDel="00000000" w:rsidP="00000000" w:rsidRDefault="00000000" w:rsidRPr="00000000" w14:paraId="00000034">
      <w:pPr>
        <w:spacing w:after="240" w:before="240" w:lineRule="auto"/>
        <w:ind w:left="1080" w:hanging="360"/>
        <w:rPr>
          <w:rFonts w:ascii="Merriweather" w:cs="Merriweather" w:eastAsia="Merriweather" w:hAnsi="Merriweather"/>
          <w:color w:val="434343"/>
          <w:sz w:val="24"/>
          <w:szCs w:val="24"/>
        </w:rPr>
      </w:pPr>
      <w:r w:rsidDel="00000000" w:rsidR="00000000" w:rsidRPr="00000000">
        <w:rPr>
          <w:rFonts w:ascii="Nova Mono" w:cs="Nova Mono" w:eastAsia="Nova Mono" w:hAnsi="Nova Mono"/>
          <w:color w:val="434343"/>
          <w:sz w:val="24"/>
          <w:szCs w:val="24"/>
          <w:rtl w:val="0"/>
        </w:rPr>
        <w:t xml:space="preserve">4. Concatenate:</w:t>
        <w:br w:type="textWrapping"/>
        <w:t xml:space="preserve">ME + MER + EL + TT + EA → MEMERELTTEA</w:t>
      </w:r>
    </w:p>
    <w:p w:rsidR="00000000" w:rsidDel="00000000" w:rsidP="00000000" w:rsidRDefault="00000000" w:rsidRPr="00000000" w14:paraId="00000035">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Final Ciphertext (columnar transposition): MEMERELTTEA</w:t>
      </w:r>
    </w:p>
    <w:p w:rsidR="00000000" w:rsidDel="00000000" w:rsidP="00000000" w:rsidRDefault="00000000" w:rsidRPr="00000000" w14:paraId="00000036">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37">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Impact:</w:t>
      </w:r>
    </w:p>
    <w:p w:rsidR="00000000" w:rsidDel="00000000" w:rsidP="00000000" w:rsidRDefault="00000000" w:rsidRPr="00000000" w14:paraId="00000038">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Correctness Risk: Users may receive different ciphertexts depending on interpretation, undermining consistency.</w:t>
      </w:r>
    </w:p>
    <w:p w:rsidR="00000000" w:rsidDel="00000000" w:rsidP="00000000" w:rsidRDefault="00000000" w:rsidRPr="00000000" w14:paraId="00000039">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Educational Risk: In teaching scenarios, students may become confused by mismatched definitions of permutation keys.</w:t>
      </w:r>
    </w:p>
    <w:p w:rsidR="00000000" w:rsidDel="00000000" w:rsidP="00000000" w:rsidRDefault="00000000" w:rsidRPr="00000000" w14:paraId="0000003A">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Trust Risk: If used in demonstrations, the tool may reduce user trust in both the exercise and the learning system.</w:t>
      </w:r>
    </w:p>
    <w:p w:rsidR="00000000" w:rsidDel="00000000" w:rsidP="00000000" w:rsidRDefault="00000000" w:rsidRPr="00000000" w14:paraId="0000003B">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Mitigation:</w:t>
      </w:r>
    </w:p>
    <w:p w:rsidR="00000000" w:rsidDel="00000000" w:rsidP="00000000" w:rsidRDefault="00000000" w:rsidRPr="00000000" w14:paraId="0000003C">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Standardize the definition of the permutation key: explicitly state whether the key refers to “read order” or “output position mapping.”</w:t>
      </w:r>
    </w:p>
    <w:p w:rsidR="00000000" w:rsidDel="00000000" w:rsidP="00000000" w:rsidRDefault="00000000" w:rsidRPr="00000000" w14:paraId="0000003D">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Provide worked examples alongside keys to prevent ambiguity.</w:t>
      </w:r>
    </w:p>
    <w:p w:rsidR="00000000" w:rsidDel="00000000" w:rsidP="00000000" w:rsidRDefault="00000000" w:rsidRPr="00000000" w14:paraId="0000003E">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color w:val="434343"/>
          <w:sz w:val="24"/>
          <w:szCs w:val="24"/>
          <w:rtl w:val="0"/>
        </w:rPr>
        <w:t xml:space="preserve">3. Add validation checks so that alternative interpretations raise a warning instead of producing silent errors.</w:t>
      </w:r>
      <w:r w:rsidDel="00000000" w:rsidR="00000000" w:rsidRPr="00000000">
        <w:rPr>
          <w:rtl w:val="0"/>
        </w:rPr>
      </w:r>
    </w:p>
    <w:p w:rsidR="00000000" w:rsidDel="00000000" w:rsidP="00000000" w:rsidRDefault="00000000" w:rsidRPr="00000000" w14:paraId="0000003F">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Severity Rating:</w:t>
      </w:r>
    </w:p>
    <w:p w:rsidR="00000000" w:rsidDel="00000000" w:rsidP="00000000" w:rsidRDefault="00000000" w:rsidRPr="00000000" w14:paraId="00000040">
      <w:pPr>
        <w:spacing w:after="240" w:before="240" w:lineRule="auto"/>
        <w:rPr>
          <w:rFonts w:ascii="Merriweather" w:cs="Merriweather" w:eastAsia="Merriweather" w:hAnsi="Merriweather"/>
          <w:color w:val="434343"/>
          <w:sz w:val="28"/>
          <w:szCs w:val="28"/>
        </w:rPr>
      </w:pPr>
      <w:r w:rsidDel="00000000" w:rsidR="00000000" w:rsidRPr="00000000">
        <w:rPr>
          <w:rFonts w:ascii="Merriweather" w:cs="Merriweather" w:eastAsia="Merriweather" w:hAnsi="Merriweather"/>
          <w:color w:val="434343"/>
          <w:sz w:val="24"/>
          <w:szCs w:val="24"/>
          <w:rtl w:val="0"/>
        </w:rPr>
        <w:t xml:space="preserve">Low (Severity 0) — This flaw affects output correctness only. It does not compromise security but undermines clarity, reliability, and user trust in a learning or practice context.</w:t>
      </w:r>
      <w:r w:rsidDel="00000000" w:rsidR="00000000" w:rsidRPr="00000000">
        <w:rPr>
          <w:rtl w:val="0"/>
        </w:rPr>
      </w:r>
    </w:p>
    <w:p w:rsidR="00000000" w:rsidDel="00000000" w:rsidP="00000000" w:rsidRDefault="00000000" w:rsidRPr="00000000" w14:paraId="00000041">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b w:val="1"/>
          <w:color w:val="434343"/>
          <w:sz w:val="28"/>
          <w:szCs w:val="28"/>
          <w:rtl w:val="0"/>
        </w:rPr>
        <w:t xml:space="preserve">Recommendations</w:t>
      </w:r>
    </w:p>
    <w:p w:rsidR="00000000" w:rsidDel="00000000" w:rsidP="00000000" w:rsidRDefault="00000000" w:rsidRPr="00000000" w14:paraId="00000042">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1. Update documentation to clearly define how permutation keys are to be applied.</w:t>
      </w:r>
    </w:p>
    <w:p w:rsidR="00000000" w:rsidDel="00000000" w:rsidP="00000000" w:rsidRDefault="00000000" w:rsidRPr="00000000" w14:paraId="00000043">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2. Incorporate unit tests with known plaintext–ciphertext pairs to ensure correctness.</w:t>
      </w:r>
    </w:p>
    <w:p w:rsidR="00000000" w:rsidDel="00000000" w:rsidP="00000000" w:rsidRDefault="00000000" w:rsidRPr="00000000" w14:paraId="00000044">
      <w:pPr>
        <w:spacing w:after="240" w:before="240" w:lineRule="auto"/>
        <w:rPr>
          <w:rFonts w:ascii="Merriweather" w:cs="Merriweather" w:eastAsia="Merriweather" w:hAnsi="Merriweather"/>
          <w:color w:val="434343"/>
          <w:sz w:val="24"/>
          <w:szCs w:val="24"/>
        </w:rPr>
      </w:pPr>
      <w:r w:rsidDel="00000000" w:rsidR="00000000" w:rsidRPr="00000000">
        <w:rPr>
          <w:rFonts w:ascii="Merriweather" w:cs="Merriweather" w:eastAsia="Merriweather" w:hAnsi="Merriweather"/>
          <w:color w:val="434343"/>
          <w:sz w:val="24"/>
          <w:szCs w:val="24"/>
          <w:rtl w:val="0"/>
        </w:rPr>
        <w:t xml:space="preserve">3. Where possible, use standardized cryptographic libraries to avoid ambiguity in manual implementations.</w:t>
      </w:r>
    </w:p>
    <w:p w:rsidR="00000000" w:rsidDel="00000000" w:rsidP="00000000" w:rsidRDefault="00000000" w:rsidRPr="00000000" w14:paraId="00000045">
      <w:pPr>
        <w:spacing w:after="240" w:before="240" w:lineRule="auto"/>
        <w:rPr>
          <w:rFonts w:ascii="Merriweather" w:cs="Merriweather" w:eastAsia="Merriweather" w:hAnsi="Merriweather"/>
          <w:b w:val="1"/>
          <w:color w:val="434343"/>
          <w:sz w:val="28"/>
          <w:szCs w:val="28"/>
        </w:rPr>
      </w:pPr>
      <w:r w:rsidDel="00000000" w:rsidR="00000000" w:rsidRPr="00000000">
        <w:rPr>
          <w:rFonts w:ascii="Merriweather" w:cs="Merriweather" w:eastAsia="Merriweather" w:hAnsi="Merriweather"/>
          <w:color w:val="434343"/>
          <w:sz w:val="24"/>
          <w:szCs w:val="24"/>
          <w:rtl w:val="0"/>
        </w:rPr>
        <w:t xml:space="preserve">Correct Answer: Final Ciphertext (correct output): MEMERELTTEA</w:t>
      </w:r>
      <w:r w:rsidDel="00000000" w:rsidR="00000000" w:rsidRPr="00000000">
        <w:rPr>
          <w:rtl w:val="0"/>
        </w:rPr>
      </w:r>
    </w:p>
    <w:p w:rsidR="00000000" w:rsidDel="00000000" w:rsidP="00000000" w:rsidRDefault="00000000" w:rsidRPr="00000000" w14:paraId="00000046">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8">
      <w:pPr>
        <w:spacing w:after="240" w:before="240" w:lineRule="auto"/>
        <w:rPr>
          <w:rFonts w:ascii="Merriweather" w:cs="Merriweather" w:eastAsia="Merriweather" w:hAnsi="Merriweather"/>
          <w:color w:val="434343"/>
          <w:sz w:val="28"/>
          <w:szCs w:val="28"/>
        </w:rPr>
      </w:pPr>
      <w:r w:rsidDel="00000000" w:rsidR="00000000" w:rsidRPr="00000000">
        <w:rPr>
          <w:rtl w:val="0"/>
        </w:rPr>
      </w:r>
    </w:p>
    <w:p w:rsidR="00000000" w:rsidDel="00000000" w:rsidP="00000000" w:rsidRDefault="00000000" w:rsidRPr="00000000" w14:paraId="00000049">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A">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B">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C">
      <w:pPr>
        <w:spacing w:after="240" w:before="240" w:lineRule="auto"/>
        <w:rPr>
          <w:rFonts w:ascii="Merriweather" w:cs="Merriweather" w:eastAsia="Merriweather" w:hAnsi="Merriweather"/>
          <w:b w:val="1"/>
          <w:color w:val="434343"/>
          <w:sz w:val="28"/>
          <w:szCs w:val="28"/>
        </w:rPr>
      </w:pPr>
      <w:r w:rsidDel="00000000" w:rsidR="00000000" w:rsidRPr="00000000">
        <w:rPr>
          <w:rtl w:val="0"/>
        </w:rPr>
      </w:r>
    </w:p>
    <w:p w:rsidR="00000000" w:rsidDel="00000000" w:rsidP="00000000" w:rsidRDefault="00000000" w:rsidRPr="00000000" w14:paraId="0000004D">
      <w:pPr>
        <w:spacing w:after="240" w:before="240" w:lineRule="auto"/>
        <w:rPr>
          <w:rFonts w:ascii="Merriweather" w:cs="Merriweather" w:eastAsia="Merriweather" w:hAnsi="Merriweather"/>
          <w:color w:val="434343"/>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Merriweather" w:cs="Merriweather" w:eastAsia="Merriweather" w:hAnsi="Merriweather"/>
          <w:sz w:val="34"/>
          <w:szCs w:val="34"/>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