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SOFTWARE AS A SERVICE AGREEMENT</w:t>
      </w:r>
    </w:p>
    <w:p>
      <w:r>
        <w:t>Date of Execution: January 10, 2026</w:t>
      </w:r>
    </w:p>
    <w:p>
      <w:r>
        <w:t>Provider: CloudSphere Technologies Corp. Customer: Stellar Logistics Ltd. Initial Service Period: January 15, 2026 to January 14, 2028.</w:t>
      </w:r>
    </w:p>
    <w:p>
      <w:pPr>
        <w:pStyle w:val="Heading1"/>
      </w:pPr>
      <w:r>
        <w:t>Section 3: Subscription Fees &amp; Invoicing</w:t>
      </w:r>
    </w:p>
    <w:p>
      <w:r>
        <w:t>Customer shall pay an Annual Platform Fee of $48,000 USD, billed quarterly in advance at $12,000 USD per quarter. Invoices are payable Net 30 days. Late payments shall incur a monthly finance penalty of 1.5%.</w:t>
      </w:r>
    </w:p>
    <w:p>
      <w:pPr>
        <w:pStyle w:val="Heading1"/>
      </w:pPr>
      <w:r>
        <w:t>Section 7: Auto-Renewal Trap &amp; Red Flags</w:t>
      </w:r>
    </w:p>
    <w:p>
      <w:r>
        <w:t>Red Flag Warning: This Agreement shall automatically renew for additional consecutive 24-month terms unless Customer provides written notice of non-renewal at least ninety (90) days prior to the expiration of the current term. Failure to notify within this window will legally lock Customer into an unavoidable $96,000 USD renewal obligation.</w:t>
      </w:r>
    </w:p>
    <w:p>
      <w:pPr>
        <w:pStyle w:val="Heading1"/>
      </w:pPr>
      <w:r>
        <w:t>Section 9: Data Security &amp; Incident Response</w:t>
      </w:r>
    </w:p>
    <w:p>
      <w:r>
        <w:t>Provider will maintain SOC2 Type II compliance. In the event of a verified data breach, Provider must notify Customer in writing within seventy-two (72) hours. Customer has the right to conduct an annual security audit at Customer's expense.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