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NON-DISCLOSURE AGREEMENT</w:t>
      </w:r>
    </w:p>
    <w:p>
      <w:r>
        <w:t>Effective Date: November 15, 2026</w:t>
      </w:r>
    </w:p>
    <w:p>
      <w:r>
        <w:t>This Mutual Confidentiality and Non-Disclosure Agreement ('Agreement') is entered into by and between Apex Digital Solutions LLC ('Disclosing Party') and Quantum Robotics Inc ('Receiving Party').</w:t>
      </w:r>
    </w:p>
    <w:p>
      <w:pPr>
        <w:pStyle w:val="Heading1"/>
      </w:pPr>
      <w:r>
        <w:t>1. Scope of Confidential Information</w:t>
      </w:r>
    </w:p>
    <w:p>
      <w:r>
        <w:t>Receiving Party shall hold and maintain all Confidential Information in strictest confidence for a period of five (5) years following disclosure. Receiving Party must not disclose, publish, or disseminate Confidential Information to any third party without prior written consent.</w:t>
      </w:r>
    </w:p>
    <w:p>
      <w:pPr>
        <w:pStyle w:val="Heading1"/>
      </w:pPr>
      <w:r>
        <w:t>2. Breach of Covenants and Liquidated Damages</w:t>
      </w:r>
    </w:p>
    <w:p>
      <w:r>
        <w:t>In the event of an intentional breach or leak of Trade Secrets, Receiving Party shall be liable for liquidated damages amounting to $150,000 USD per incident, in addition to full attorney fees and legal costs.</w:t>
      </w:r>
    </w:p>
    <w:p>
      <w:pPr>
        <w:pStyle w:val="Heading1"/>
      </w:pPr>
      <w:r>
        <w:t>3. Termination and Return of Materials</w:t>
      </w:r>
    </w:p>
    <w:p>
      <w:r>
        <w:t>Upon written notice or termination by December 31, 2027, Receiving Party shall destroy or return all materials within fourteen (14) business days. Certification of destruction must be provided.</w:t>
      </w:r>
    </w:p>
    <w:p>
      <w:pPr>
        <w:pStyle w:val="Heading1"/>
      </w:pPr>
      <w:r>
        <w:t>4. Governing Law and Arbitration</w:t>
      </w:r>
    </w:p>
    <w:p>
      <w:r>
        <w:t>This Agreement is governed by the laws of Delaware. All disputes must be submitted to binding arbitration in Wilmington, Delaware. The prevailing party is entitled to recover all reasonable attorney costs.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