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06"/>
      </w:tblGrid>
      <w:tr>
        <w:tc>
          <w:tcPr>
            <w:tcW w:type="dxa" w:w="9406"/>
            <w:shd w:val="clear" w:color="auto" w:fill="1A73E8"/>
          </w:tcPr>
          <w:p>
            <w:pPr>
              <w:jc w:val="center"/>
            </w:pPr>
            <w:r>
              <w:rPr>
                <w:b/>
                <w:color w:val="FFFFFF"/>
                <w:sz w:val="52"/>
              </w:rPr>
              <w:t>CYCLISTIC BIKE-SHARE</w:t>
            </w:r>
          </w:p>
          <w:p>
            <w:pPr>
              <w:jc w:val="center"/>
            </w:pPr>
            <w:r>
              <w:rPr>
                <w:color w:val="C5D9FD"/>
                <w:sz w:val="22"/>
              </w:rPr>
              <w:t>Rapport d'Analyse  ·  Case Study Google Data Analytics</w:t>
            </w:r>
          </w:p>
        </w:tc>
      </w:tr>
    </w:tbl>
    <w:p/>
    <w:p>
      <w:pPr>
        <w:jc w:val="center"/>
      </w:pPr>
      <w:r>
        <w:rPr>
          <w:b/>
          <w:color w:val="202124"/>
          <w:sz w:val="36"/>
        </w:rPr>
        <w:t>Rapport d'Analyse — Case Study</w:t>
      </w:r>
    </w:p>
    <w:p>
      <w:pPr>
        <w:jc w:val="center"/>
      </w:pPr>
      <w:r>
        <w:rPr>
          <w:i/>
          <w:color w:val="5F6368"/>
          <w:sz w:val="24"/>
        </w:rPr>
        <w:t>« Comment les membres annuels et les casual riders</w:t>
        <w:br/>
        <w:t>utilisent-ils les vélos Cyclistic différemment ? »</w:t>
      </w:r>
    </w:p>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8F0FE"/>
          </w:tcPr>
          <w:p>
            <w:pPr>
              <w:jc w:val="center"/>
            </w:pPr>
            <w:r>
              <w:rPr>
                <w:b/>
                <w:color w:val="1A73E8"/>
                <w:sz w:val="28"/>
              </w:rPr>
              <w:t>3 885 439</w:t>
            </w:r>
          </w:p>
        </w:tc>
        <w:tc>
          <w:tcPr>
            <w:tcW w:type="dxa" w:w="1881"/>
            <w:shd w:val="clear" w:color="auto" w:fill="D2E3FC"/>
          </w:tcPr>
          <w:p>
            <w:pPr>
              <w:jc w:val="center"/>
            </w:pPr>
            <w:r>
              <w:rPr>
                <w:b/>
                <w:color w:val="1A73E8"/>
                <w:sz w:val="28"/>
              </w:rPr>
              <w:t>64,6 %</w:t>
            </w:r>
          </w:p>
        </w:tc>
        <w:tc>
          <w:tcPr>
            <w:tcW w:type="dxa" w:w="1881"/>
            <w:shd w:val="clear" w:color="auto" w:fill="E8F0FE"/>
          </w:tcPr>
          <w:p>
            <w:pPr>
              <w:jc w:val="center"/>
            </w:pPr>
            <w:r>
              <w:rPr>
                <w:b/>
                <w:color w:val="1A73E8"/>
                <w:sz w:val="28"/>
              </w:rPr>
              <w:t>35,4 %</w:t>
            </w:r>
          </w:p>
        </w:tc>
        <w:tc>
          <w:tcPr>
            <w:tcW w:type="dxa" w:w="1881"/>
            <w:shd w:val="clear" w:color="auto" w:fill="D2E3FC"/>
          </w:tcPr>
          <w:p>
            <w:pPr>
              <w:jc w:val="center"/>
            </w:pPr>
            <w:r>
              <w:rPr>
                <w:b/>
                <w:color w:val="1A73E8"/>
                <w:sz w:val="28"/>
              </w:rPr>
              <w:t>14,6 min</w:t>
            </w:r>
          </w:p>
        </w:tc>
        <w:tc>
          <w:tcPr>
            <w:tcW w:type="dxa" w:w="1881"/>
            <w:shd w:val="clear" w:color="auto" w:fill="E8F0FE"/>
          </w:tcPr>
          <w:p>
            <w:pPr>
              <w:jc w:val="center"/>
            </w:pPr>
            <w:r>
              <w:rPr>
                <w:b/>
                <w:color w:val="1A73E8"/>
                <w:sz w:val="28"/>
              </w:rPr>
              <w:t>37,1 min</w:t>
            </w:r>
          </w:p>
        </w:tc>
      </w:tr>
      <w:tr>
        <w:tc>
          <w:tcPr>
            <w:tcW w:type="dxa" w:w="1881"/>
            <w:shd w:val="clear" w:color="auto" w:fill="E8F0FE"/>
          </w:tcPr>
          <w:p>
            <w:pPr>
              <w:jc w:val="center"/>
            </w:pPr>
            <w:r>
              <w:rPr>
                <w:color w:val="5F6368"/>
                <w:sz w:val="16"/>
              </w:rPr>
              <w:t>Trajets analysés</w:t>
            </w:r>
          </w:p>
        </w:tc>
        <w:tc>
          <w:tcPr>
            <w:tcW w:type="dxa" w:w="1881"/>
            <w:shd w:val="clear" w:color="auto" w:fill="D2E3FC"/>
          </w:tcPr>
          <w:p>
            <w:pPr>
              <w:jc w:val="center"/>
            </w:pPr>
            <w:r>
              <w:rPr>
                <w:color w:val="5F6368"/>
                <w:sz w:val="16"/>
              </w:rPr>
              <w:t>Part Members</w:t>
            </w:r>
          </w:p>
        </w:tc>
        <w:tc>
          <w:tcPr>
            <w:tcW w:type="dxa" w:w="1881"/>
            <w:shd w:val="clear" w:color="auto" w:fill="E8F0FE"/>
          </w:tcPr>
          <w:p>
            <w:pPr>
              <w:jc w:val="center"/>
            </w:pPr>
            <w:r>
              <w:rPr>
                <w:color w:val="5F6368"/>
                <w:sz w:val="16"/>
              </w:rPr>
              <w:t>Part Casual</w:t>
            </w:r>
          </w:p>
        </w:tc>
        <w:tc>
          <w:tcPr>
            <w:tcW w:type="dxa" w:w="1881"/>
            <w:shd w:val="clear" w:color="auto" w:fill="D2E3FC"/>
          </w:tcPr>
          <w:p>
            <w:pPr>
              <w:jc w:val="center"/>
            </w:pPr>
            <w:r>
              <w:rPr>
                <w:color w:val="5F6368"/>
                <w:sz w:val="16"/>
              </w:rPr>
              <w:t>Durée moy. Member</w:t>
            </w:r>
          </w:p>
        </w:tc>
        <w:tc>
          <w:tcPr>
            <w:tcW w:type="dxa" w:w="1881"/>
            <w:shd w:val="clear" w:color="auto" w:fill="E8F0FE"/>
          </w:tcPr>
          <w:p>
            <w:pPr>
              <w:jc w:val="center"/>
            </w:pPr>
            <w:r>
              <w:rPr>
                <w:color w:val="5F6368"/>
                <w:sz w:val="16"/>
              </w:rPr>
              <w:t>Durée moy. Casual</w:t>
            </w:r>
          </w:p>
        </w:tc>
      </w:tr>
    </w:tbl>
    <w:p/>
    <w:tbl>
      <w:tblPr>
        <w:tblW w:type="auto" w:w="0"/>
        <w:jc w:val="center"/>
        <w:tblLook w:firstColumn="1" w:firstRow="1" w:lastColumn="0" w:lastRow="0" w:noHBand="0" w:noVBand="1" w:val="04A0"/>
      </w:tblPr>
      <w:tblGrid>
        <w:gridCol w:w="4703"/>
        <w:gridCol w:w="4703"/>
      </w:tblGrid>
      <w:tr>
        <w:tc>
          <w:tcPr>
            <w:tcW w:type="dxa" w:w="2381"/>
            <w:shd w:val="clear" w:color="auto" w:fill="F8F9FA"/>
          </w:tcPr>
          <w:p>
            <w:r>
              <w:rPr>
                <w:b/>
                <w:color w:val="1A73E8"/>
                <w:sz w:val="18"/>
              </w:rPr>
              <w:t>Analyste</w:t>
            </w:r>
          </w:p>
        </w:tc>
        <w:tc>
          <w:tcPr>
            <w:tcW w:type="dxa" w:w="4703"/>
            <w:shd w:val="clear" w:color="auto" w:fill="F8F9FA"/>
          </w:tcPr>
          <w:p>
            <w:r>
              <w:rPr>
                <w:b/>
                <w:color w:val="202124"/>
                <w:sz w:val="22"/>
              </w:rPr>
              <w:t>Sidi Mohamed ALLY</w:t>
            </w:r>
          </w:p>
        </w:tc>
      </w:tr>
      <w:tr>
        <w:tc>
          <w:tcPr>
            <w:tcW w:type="dxa" w:w="2381"/>
          </w:tcPr>
          <w:p>
            <w:r>
              <w:rPr>
                <w:b/>
                <w:color w:val="1A73E8"/>
                <w:sz w:val="18"/>
              </w:rPr>
              <w:t>Titre</w:t>
            </w:r>
          </w:p>
        </w:tc>
        <w:tc>
          <w:tcPr>
            <w:tcW w:type="dxa" w:w="4703"/>
          </w:tcPr>
          <w:p>
            <w:r>
              <w:rPr>
                <w:i/>
                <w:color w:val="5F6368"/>
                <w:sz w:val="18"/>
              </w:rPr>
              <w:t>Analyste de données Professionnel Certifié</w:t>
            </w:r>
          </w:p>
        </w:tc>
      </w:tr>
      <w:tr>
        <w:tc>
          <w:tcPr>
            <w:tcW w:type="dxa" w:w="2381"/>
            <w:shd w:val="clear" w:color="auto" w:fill="F8F9FA"/>
          </w:tcPr>
          <w:p>
            <w:r>
              <w:rPr>
                <w:b/>
                <w:color w:val="1A73E8"/>
                <w:sz w:val="18"/>
              </w:rPr>
              <w:t>Certification</w:t>
            </w:r>
          </w:p>
        </w:tc>
        <w:tc>
          <w:tcPr>
            <w:tcW w:type="dxa" w:w="4703"/>
            <w:shd w:val="clear" w:color="auto" w:fill="F8F9FA"/>
          </w:tcPr>
          <w:p>
            <w:r>
              <w:rPr>
                <w:sz w:val="18"/>
              </w:rPr>
              <w:t>Google Data Analytics Professional Certificate — Google / Coursera (13 juin 2026)</w:t>
            </w:r>
          </w:p>
        </w:tc>
      </w:tr>
      <w:tr>
        <w:tc>
          <w:tcPr>
            <w:tcW w:type="dxa" w:w="2381"/>
          </w:tcPr>
          <w:p>
            <w:r>
              <w:rPr>
                <w:b/>
                <w:color w:val="1A73E8"/>
                <w:sz w:val="18"/>
              </w:rPr>
              <w:t>Destinataire</w:t>
            </w:r>
          </w:p>
        </w:tc>
        <w:tc>
          <w:tcPr>
            <w:tcW w:type="dxa" w:w="4703"/>
          </w:tcPr>
          <w:p>
            <w:r>
              <w:rPr>
                <w:sz w:val="18"/>
              </w:rPr>
              <w:t>Lily Moreno, Director of Marketing  |  Cyclistic Executive Team</w:t>
            </w:r>
          </w:p>
        </w:tc>
      </w:tr>
      <w:tr>
        <w:tc>
          <w:tcPr>
            <w:tcW w:type="dxa" w:w="2381"/>
            <w:shd w:val="clear" w:color="auto" w:fill="F8F9FA"/>
          </w:tcPr>
          <w:p>
            <w:r>
              <w:rPr>
                <w:b/>
                <w:color w:val="1A73E8"/>
                <w:sz w:val="18"/>
              </w:rPr>
              <w:t>Date du rapport</w:t>
            </w:r>
          </w:p>
        </w:tc>
        <w:tc>
          <w:tcPr>
            <w:tcW w:type="dxa" w:w="4703"/>
            <w:shd w:val="clear" w:color="auto" w:fill="F8F9FA"/>
          </w:tcPr>
          <w:p>
            <w:r>
              <w:rPr>
                <w:sz w:val="18"/>
              </w:rPr>
              <w:t>Juin 2026</w:t>
            </w:r>
          </w:p>
        </w:tc>
      </w:tr>
      <w:tr>
        <w:tc>
          <w:tcPr>
            <w:tcW w:type="dxa" w:w="2381"/>
          </w:tcPr>
          <w:p>
            <w:r>
              <w:rPr>
                <w:b/>
                <w:color w:val="1A73E8"/>
                <w:sz w:val="18"/>
              </w:rPr>
              <w:t>Période analysée</w:t>
            </w:r>
          </w:p>
        </w:tc>
        <w:tc>
          <w:tcPr>
            <w:tcW w:type="dxa" w:w="4703"/>
          </w:tcPr>
          <w:p>
            <w:r>
              <w:rPr>
                <w:sz w:val="18"/>
              </w:rPr>
              <w:t>Janvier 2019 – Décembre 2020</w:t>
            </w:r>
          </w:p>
        </w:tc>
      </w:tr>
      <w:tr>
        <w:tc>
          <w:tcPr>
            <w:tcW w:type="dxa" w:w="2381"/>
            <w:shd w:val="clear" w:color="auto" w:fill="F8F9FA"/>
          </w:tcPr>
          <w:p>
            <w:r>
              <w:rPr>
                <w:b/>
                <w:color w:val="1A73E8"/>
                <w:sz w:val="18"/>
              </w:rPr>
              <w:t>Outils</w:t>
            </w:r>
          </w:p>
        </w:tc>
        <w:tc>
          <w:tcPr>
            <w:tcW w:type="dxa" w:w="4703"/>
            <w:shd w:val="clear" w:color="auto" w:fill="F8F9FA"/>
          </w:tcPr>
          <w:p>
            <w:r>
              <w:rPr>
                <w:sz w:val="18"/>
              </w:rPr>
              <w:t>Python (pandas · matplotlib · seaborn · plotly)  ·  SQL  ·  Tableau</w:t>
            </w:r>
          </w:p>
        </w:tc>
      </w:tr>
    </w:tbl>
    <w:p/>
    <w:tbl>
      <w:tblPr>
        <w:tblW w:type="auto" w:w="0"/>
        <w:jc w:val="center"/>
        <w:tblLook w:firstColumn="1" w:firstRow="1" w:lastColumn="0" w:lastRow="0" w:noHBand="0" w:noVBand="1" w:val="04A0"/>
      </w:tblPr>
      <w:tblGrid>
        <w:gridCol w:w="4703"/>
        <w:gridCol w:w="4703"/>
      </w:tblGrid>
      <w:tr>
        <w:tc>
          <w:tcPr>
            <w:tcW w:type="dxa" w:w="2268"/>
          </w:tcPr>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badge_google_da.png"/>
                          <pic:cNvPicPr/>
                        </pic:nvPicPr>
                        <pic:blipFill>
                          <a:blip r:embed="rId10"/>
                          <a:stretch>
                            <a:fillRect/>
                          </a:stretch>
                        </pic:blipFill>
                        <pic:spPr>
                          <a:xfrm>
                            <a:off x="0" y="0"/>
                            <a:ext cx="1152000" cy="1152000"/>
                          </a:xfrm>
                          <a:prstGeom prst="rect"/>
                        </pic:spPr>
                      </pic:pic>
                    </a:graphicData>
                  </a:graphic>
                </wp:inline>
              </w:drawing>
            </w:r>
          </w:p>
        </w:tc>
        <w:tc>
          <w:tcPr>
            <w:tcW w:type="dxa" w:w="6803"/>
          </w:tcPr>
          <w:p>
            <w:pPr>
              <w:spacing w:before="200"/>
              <w:jc w:val="left"/>
            </w:pPr>
            <w:r>
              <w:rPr>
                <w:b/>
                <w:color w:val="202124"/>
                <w:sz w:val="20"/>
              </w:rPr>
              <w:t>Google Data Analytics Professional Certificate</w:t>
              <w:br/>
            </w:r>
            <w:r>
              <w:rPr>
                <w:color w:val="5F6368"/>
                <w:sz w:val="18"/>
              </w:rPr>
              <w:t>Délivré le 13 juin 2026  ·  Émis par Google &amp; Coursera</w:t>
              <w:br/>
            </w:r>
            <w:r>
              <w:rPr>
                <w:color w:val="5F6368"/>
                <w:sz w:val="18"/>
              </w:rPr>
              <w:t xml:space="preserve">Vérifier le badge : </w:t>
            </w:r>
            <w:hyperlink r:id="rId11">
              <w:r>
                <w:rPr>
                  <w:u w:val="single"/>
                  <w:color w:val="1A73E8"/>
                  <w:sz w:val="18"/>
                </w:rPr>
                <w:t>https://www.credly.com/go/RarXbDJG</w:t>
              </w:r>
            </w:hyperlink>
          </w:p>
        </w:tc>
      </w:tr>
    </w:tbl>
    <w:p>
      <w:r>
        <w:br w:type="page"/>
      </w:r>
    </w:p>
    <w:p>
      <w:pPr>
        <w:jc w:val="center"/>
        <w:pBdr>
          <w:bottom w:val="single" w:sz="6" w:space="4" w:color="1A73E8"/>
        </w:pBdr>
      </w:pPr>
      <w:r>
        <w:rPr>
          <w:b/>
          <w:color w:val="1A73E8"/>
          <w:sz w:val="32"/>
        </w:rPr>
        <w:t>RÉSUMÉ EXÉCUTIF</w:t>
      </w:r>
    </w:p>
    <w:p/>
    <w:p>
      <w:pPr>
        <w:spacing w:after="200"/>
      </w:pPr>
      <w:r>
        <w:rPr>
          <w:b w:val="0"/>
          <w:i w:val="0"/>
          <w:color w:val="202124"/>
          <w:sz w:val="20"/>
        </w:rPr>
        <w:t>Cyclistic, programme de bike-share de Chicago, dispose de deux profils d'utilisateurs aux comportements opposés : les membres annuels (64,6 % des trajets) utilisent le service pour leurs déplacements domicile-travail, tandis que les casual riders (35,4 %) ont un usage récréatif et saisonnier. L'objectif stratégique est de convertir une partie des 1,37 million de casual riders en membres annuels, jugés plus rentables par les analystes financiers.</w:t>
      </w:r>
    </w:p>
    <w:tbl>
      <w:tblPr>
        <w:tblW w:type="auto" w:w="0"/>
        <w:jc w:val="center"/>
        <w:tblLook w:firstColumn="1" w:firstRow="1" w:lastColumn="0" w:lastRow="0" w:noHBand="0" w:noVBand="1" w:val="04A0"/>
      </w:tblPr>
      <w:tblGrid>
        <w:gridCol w:w="9406"/>
      </w:tblGrid>
      <w:tr>
        <w:tc>
          <w:tcPr>
            <w:tcW w:type="dxa" w:w="9406"/>
            <w:shd w:val="clear" w:color="auto" w:fill="E8F0FE"/>
          </w:tcPr>
          <w:p>
            <w:r>
              <w:rPr>
                <w:b/>
                <w:color w:val="1A73E8"/>
                <w:sz w:val="22"/>
              </w:rPr>
              <w:t xml:space="preserve">  CONSTATS CLÉS</w:t>
            </w:r>
          </w:p>
          <w:p>
            <w:pPr>
              <w:spacing w:after="60"/>
              <w:ind w:left="227"/>
            </w:pPr>
            <w:r>
              <w:rPr>
                <w:sz w:val="20"/>
              </w:rPr>
              <w:t>Les casual riders roulent 2,5× plus longtemps (37,1 min vs 14,6 min) mais 2× moins souvent → usage loisir, non utilitaire.</w:t>
            </w:r>
          </w:p>
          <w:p>
            <w:pPr>
              <w:spacing w:after="60"/>
              <w:ind w:left="227"/>
            </w:pPr>
            <w:r>
              <w:rPr>
                <w:sz w:val="20"/>
              </w:rPr>
              <w:t>Double pic horaire membres à 8h et 17h (rush hours) vs pic unique casual à 15–17h → comportements structurellement différents.</w:t>
            </w:r>
          </w:p>
          <w:p>
            <w:pPr>
              <w:spacing w:after="60"/>
              <w:ind w:left="227"/>
            </w:pPr>
            <w:r>
              <w:rPr>
                <w:sz w:val="20"/>
              </w:rPr>
              <w:t>51,5 % des trajets casual se concentrent en été (juin–août) → fenêtre de conversion estivale prioritaire.</w:t>
            </w:r>
          </w:p>
          <w:p>
            <w:pPr>
              <w:spacing w:after="60"/>
              <w:ind w:left="227"/>
            </w:pPr>
            <w:r>
              <w:rPr>
                <w:sz w:val="20"/>
              </w:rPr>
              <w:t>Les casual se concentrent sur des stations touristiques (Lakefront, Navy Pier, Millennium Park) → ciblage géographique précis possible.</w:t>
            </w:r>
          </w:p>
        </w:tc>
      </w:tr>
    </w:tbl>
    <w:p>
      <w:pPr>
        <w:spacing w:after="120"/>
      </w:pPr>
    </w:p>
    <w:tbl>
      <w:tblPr>
        <w:tblW w:type="auto" w:w="0"/>
        <w:jc w:val="center"/>
        <w:tblLook w:firstColumn="1" w:firstRow="1" w:lastColumn="0" w:lastRow="0" w:noHBand="0" w:noVBand="1" w:val="04A0"/>
      </w:tblPr>
      <w:tblGrid>
        <w:gridCol w:w="9406"/>
      </w:tblGrid>
      <w:tr>
        <w:tc>
          <w:tcPr>
            <w:tcW w:type="dxa" w:w="9406"/>
            <w:shd w:val="clear" w:color="auto" w:fill="E6F4EA"/>
          </w:tcPr>
          <w:p>
            <w:r>
              <w:rPr>
                <w:b/>
                <w:color w:val="34A853"/>
                <w:sz w:val="22"/>
              </w:rPr>
              <w:t xml:space="preserve">  TOP 3 RECOMMANDATIONS</w:t>
            </w:r>
          </w:p>
          <w:p>
            <w:pPr>
              <w:spacing w:after="60"/>
              <w:ind w:left="227"/>
            </w:pPr>
            <w:r>
              <w:rPr>
                <w:b/>
                <w:color w:val="202124"/>
                <w:sz w:val="20"/>
              </w:rPr>
              <w:t xml:space="preserve">1 : </w:t>
            </w:r>
            <w:r>
              <w:rPr>
                <w:sz w:val="20"/>
              </w:rPr>
              <w:t>Campagne géolocalisée « Week-end → Abonnement » autour des stations touristiques.</w:t>
            </w:r>
          </w:p>
          <w:p>
            <w:pPr>
              <w:spacing w:after="60"/>
              <w:ind w:left="227"/>
            </w:pPr>
            <w:r>
              <w:rPr>
                <w:b/>
                <w:color w:val="202124"/>
                <w:sz w:val="20"/>
              </w:rPr>
              <w:t xml:space="preserve">2 : </w:t>
            </w:r>
            <w:r>
              <w:rPr>
                <w:sz w:val="20"/>
              </w:rPr>
              <w:t>Offre « Été → Membre » : 2 mois offerts en mai–juin aux casual ayant 3+ trajets en 30 jours.</w:t>
            </w:r>
          </w:p>
          <w:p>
            <w:pPr>
              <w:spacing w:after="60"/>
              <w:ind w:left="227"/>
            </w:pPr>
            <w:r>
              <w:rPr>
                <w:b/>
                <w:color w:val="202124"/>
                <w:sz w:val="20"/>
              </w:rPr>
              <w:t xml:space="preserve">3 : </w:t>
            </w:r>
            <w:r>
              <w:rPr>
                <w:sz w:val="20"/>
              </w:rPr>
              <w:t>Calculateur d'économies « domicile-travail » dans l'app pour démontrer la valeur de l'abonnement.</w:t>
            </w:r>
          </w:p>
        </w:tc>
      </w:tr>
    </w:tbl>
    <w:p>
      <w:pPr>
        <w:spacing w:after="120"/>
      </w:pPr>
    </w:p>
    <w:p>
      <w:r>
        <w:br w:type="page"/>
      </w:r>
    </w:p>
    <w:p>
      <w:pPr>
        <w:pBdr>
          <w:bottom w:val="single" w:sz="6" w:space="4" w:color="1A73E8"/>
        </w:pBdr>
      </w:pPr>
      <w:r>
        <w:rPr>
          <w:b/>
          <w:color w:val="1A73E8"/>
          <w:sz w:val="28"/>
        </w:rPr>
        <w:t>TABLE DES MATIÈRES</w:t>
      </w:r>
    </w:p>
    <w:p/>
    <w:p>
      <w:pPr>
        <w:spacing w:after="40"/>
        <w:ind w:left="0"/>
      </w:pPr>
      <w:r>
        <w:rPr>
          <w:b/>
          <w:color w:val="1A73E8"/>
          <w:sz w:val="20"/>
        </w:rPr>
        <w:t xml:space="preserve">1.  </w:t>
      </w:r>
      <w:r>
        <w:rPr>
          <w:color w:val="202124"/>
          <w:sz w:val="20"/>
        </w:rPr>
        <w:t>Contexte &amp; Problématique Business</w:t>
      </w:r>
    </w:p>
    <w:p>
      <w:pPr>
        <w:spacing w:after="40"/>
        <w:ind w:left="0"/>
      </w:pPr>
      <w:r>
        <w:rPr>
          <w:b/>
          <w:color w:val="1A73E8"/>
          <w:sz w:val="20"/>
        </w:rPr>
        <w:t xml:space="preserve">2.  </w:t>
      </w:r>
      <w:r>
        <w:rPr>
          <w:color w:val="202124"/>
          <w:sz w:val="20"/>
        </w:rPr>
        <w:t>Sources de données &amp; Méthodologie</w:t>
      </w:r>
    </w:p>
    <w:p>
      <w:pPr>
        <w:spacing w:after="40"/>
        <w:ind w:left="0"/>
      </w:pPr>
      <w:r>
        <w:rPr>
          <w:b/>
          <w:color w:val="1A73E8"/>
          <w:sz w:val="20"/>
        </w:rPr>
        <w:t xml:space="preserve">3.  </w:t>
      </w:r>
      <w:r>
        <w:rPr>
          <w:color w:val="202124"/>
          <w:sz w:val="20"/>
        </w:rPr>
        <w:t>Nettoyage des données</w:t>
      </w:r>
    </w:p>
    <w:p>
      <w:pPr>
        <w:spacing w:after="40"/>
        <w:ind w:left="0"/>
      </w:pPr>
      <w:r>
        <w:rPr>
          <w:b/>
          <w:color w:val="1A73E8"/>
          <w:sz w:val="20"/>
        </w:rPr>
        <w:t xml:space="preserve">4.  </w:t>
      </w:r>
      <w:r>
        <w:rPr>
          <w:color w:val="202124"/>
          <w:sz w:val="20"/>
        </w:rPr>
        <w:t>Analyse &amp; Insights</w:t>
      </w:r>
    </w:p>
    <w:p>
      <w:pPr>
        <w:spacing w:after="40"/>
        <w:ind w:left="283"/>
      </w:pPr>
      <w:r>
        <w:rPr>
          <w:b w:val="0"/>
          <w:color w:val="5F6368"/>
          <w:sz w:val="20"/>
        </w:rPr>
        <w:t xml:space="preserve">   4.1  </w:t>
      </w:r>
      <w:r>
        <w:rPr>
          <w:color w:val="5F6368"/>
          <w:sz w:val="20"/>
        </w:rPr>
        <w:t>Vue d'ensemble : volume et durée</w:t>
      </w:r>
    </w:p>
    <w:p>
      <w:pPr>
        <w:spacing w:after="40"/>
        <w:ind w:left="283"/>
      </w:pPr>
      <w:r>
        <w:rPr>
          <w:b w:val="0"/>
          <w:color w:val="5F6368"/>
          <w:sz w:val="20"/>
        </w:rPr>
        <w:t xml:space="preserve">   4.2  </w:t>
      </w:r>
      <w:r>
        <w:rPr>
          <w:color w:val="5F6368"/>
          <w:sz w:val="20"/>
        </w:rPr>
        <w:t>Comportement temporel</w:t>
      </w:r>
    </w:p>
    <w:p>
      <w:pPr>
        <w:spacing w:after="40"/>
        <w:ind w:left="283"/>
      </w:pPr>
      <w:r>
        <w:rPr>
          <w:b w:val="0"/>
          <w:color w:val="5F6368"/>
          <w:sz w:val="20"/>
        </w:rPr>
        <w:t xml:space="preserve">   4.3  </w:t>
      </w:r>
      <w:r>
        <w:rPr>
          <w:color w:val="5F6368"/>
          <w:sz w:val="20"/>
        </w:rPr>
        <w:t>Types de vélos</w:t>
      </w:r>
    </w:p>
    <w:p>
      <w:pPr>
        <w:spacing w:after="40"/>
        <w:ind w:left="283"/>
      </w:pPr>
      <w:r>
        <w:rPr>
          <w:b w:val="0"/>
          <w:color w:val="5F6368"/>
          <w:sz w:val="20"/>
        </w:rPr>
        <w:t xml:space="preserve">   4.4  </w:t>
      </w:r>
      <w:r>
        <w:rPr>
          <w:color w:val="5F6368"/>
          <w:sz w:val="20"/>
        </w:rPr>
        <w:t>Stations de départ — Casual riders</w:t>
      </w:r>
    </w:p>
    <w:p>
      <w:pPr>
        <w:spacing w:after="40"/>
        <w:ind w:left="0"/>
      </w:pPr>
      <w:r>
        <w:rPr>
          <w:b/>
          <w:color w:val="1A73E8"/>
          <w:sz w:val="20"/>
        </w:rPr>
        <w:t xml:space="preserve">5.  </w:t>
      </w:r>
      <w:r>
        <w:rPr>
          <w:color w:val="202124"/>
          <w:sz w:val="20"/>
        </w:rPr>
        <w:t>Recommandations Marketing</w:t>
      </w:r>
    </w:p>
    <w:p>
      <w:pPr>
        <w:spacing w:after="40"/>
        <w:ind w:left="0"/>
      </w:pPr>
      <w:r>
        <w:rPr>
          <w:b/>
          <w:color w:val="1A73E8"/>
          <w:sz w:val="20"/>
        </w:rPr>
        <w:t xml:space="preserve">6.  </w:t>
      </w:r>
      <w:r>
        <w:rPr>
          <w:color w:val="202124"/>
          <w:sz w:val="20"/>
        </w:rPr>
        <w:t>Conclusion &amp; Limites</w:t>
      </w:r>
    </w:p>
    <w:p>
      <w:pPr>
        <w:spacing w:after="40"/>
        <w:ind w:left="0"/>
      </w:pPr>
      <w:r>
        <w:rPr>
          <w:b/>
          <w:color w:val="1A73E8"/>
          <w:sz w:val="20"/>
        </w:rPr>
        <w:t xml:space="preserve">—  </w:t>
      </w:r>
      <w:r>
        <w:rPr>
          <w:color w:val="202124"/>
          <w:sz w:val="20"/>
        </w:rPr>
        <w:t>Signature de l'auteur</w:t>
      </w:r>
    </w:p>
    <w:p>
      <w:pPr>
        <w:spacing w:after="40"/>
        <w:ind w:left="0"/>
      </w:pPr>
      <w:r>
        <w:rPr>
          <w:b/>
          <w:color w:val="1A73E8"/>
          <w:sz w:val="20"/>
        </w:rPr>
        <w:t xml:space="preserve">—  </w:t>
      </w:r>
      <w:r>
        <w:rPr>
          <w:color w:val="202124"/>
          <w:sz w:val="20"/>
        </w:rPr>
        <w:t>Glossaire</w:t>
      </w:r>
    </w:p>
    <w:p>
      <w:pPr>
        <w:spacing w:after="40"/>
        <w:ind w:left="0"/>
      </w:pPr>
      <w:r>
        <w:rPr>
          <w:b/>
          <w:color w:val="1A73E8"/>
          <w:sz w:val="20"/>
        </w:rPr>
        <w:t xml:space="preserve">A.  </w:t>
      </w:r>
      <w:r>
        <w:rPr>
          <w:color w:val="202124"/>
          <w:sz w:val="20"/>
        </w:rPr>
        <w:t>Annexe — Requêtes SQL</w:t>
      </w:r>
    </w:p>
    <w:p>
      <w:pPr>
        <w:spacing w:after="40"/>
        <w:ind w:left="0"/>
      </w:pPr>
      <w:r>
        <w:rPr>
          <w:b/>
          <w:color w:val="1A73E8"/>
          <w:sz w:val="20"/>
        </w:rPr>
        <w:t xml:space="preserve">B.  </w:t>
      </w:r>
      <w:r>
        <w:rPr>
          <w:color w:val="202124"/>
          <w:sz w:val="20"/>
        </w:rPr>
        <w:t>Annexe — Scripts Python clés</w:t>
      </w:r>
    </w:p>
    <w:p>
      <w:pPr>
        <w:spacing w:after="40"/>
        <w:ind w:left="0"/>
      </w:pPr>
      <w:r>
        <w:rPr>
          <w:b/>
          <w:color w:val="1A73E8"/>
          <w:sz w:val="20"/>
        </w:rPr>
        <w:t xml:space="preserve">C.  </w:t>
      </w:r>
      <w:r>
        <w:rPr>
          <w:color w:val="202124"/>
          <w:sz w:val="20"/>
        </w:rPr>
        <w:t>Annexe — Sources de données &amp; Licence</w:t>
      </w:r>
    </w:p>
    <w:p/>
    <w:p>
      <w:pPr>
        <w:pBdr>
          <w:bottom w:val="single" w:sz="6" w:space="4" w:color="E8EAED"/>
        </w:pBdr>
      </w:pPr>
      <w:r>
        <w:rPr>
          <w:b/>
          <w:color w:val="1A73E8"/>
          <w:sz w:val="24"/>
        </w:rPr>
        <w:t>LISTE DES FIGURES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850"/>
            <w:shd w:val="clear" w:color="auto" w:fill="1A73E8"/>
          </w:tcPr>
          <w:p>
            <w:pPr>
              <w:jc w:val="center"/>
            </w:pPr>
            <w:r>
              <w:rPr>
                <w:b/>
                <w:color w:val="FFFFFF"/>
                <w:sz w:val="18"/>
              </w:rPr>
              <w:t>N°</w:t>
            </w:r>
          </w:p>
        </w:tc>
        <w:tc>
          <w:tcPr>
            <w:tcW w:type="dxa" w:w="3969"/>
            <w:shd w:val="clear" w:color="auto" w:fill="1A73E8"/>
          </w:tcPr>
          <w:p>
            <w:pPr>
              <w:jc w:val="center"/>
            </w:pPr>
            <w:r>
              <w:rPr>
                <w:b/>
                <w:color w:val="FFFFFF"/>
                <w:sz w:val="18"/>
              </w:rPr>
              <w:t>Titre</w:t>
            </w:r>
          </w:p>
        </w:tc>
        <w:tc>
          <w:tcPr>
            <w:tcW w:type="dxa" w:w="2551"/>
            <w:shd w:val="clear" w:color="auto" w:fill="1A73E8"/>
          </w:tcPr>
          <w:p>
            <w:pPr>
              <w:jc w:val="center"/>
            </w:pPr>
            <w:r>
              <w:rPr>
                <w:b/>
                <w:color w:val="FFFFFF"/>
                <w:sz w:val="18"/>
              </w:rPr>
              <w:t>Fichier</w:t>
            </w:r>
          </w:p>
        </w:tc>
        <w:tc>
          <w:tcPr>
            <w:tcW w:type="dxa" w:w="1134"/>
            <w:shd w:val="clear" w:color="auto" w:fill="1A73E8"/>
          </w:tcPr>
          <w:p>
            <w:pPr>
              <w:jc w:val="center"/>
            </w:pPr>
            <w:r>
              <w:rPr>
                <w:b/>
                <w:color w:val="FFFFFF"/>
                <w:sz w:val="18"/>
              </w:rPr>
              <w:t>Section</w:t>
            </w:r>
          </w:p>
        </w:tc>
      </w:tr>
      <w:tr>
        <w:tc>
          <w:tcPr>
            <w:tcW w:type="dxa" w:w="850"/>
            <w:shd w:val="clear" w:color="auto" w:fill="F8F9FA"/>
          </w:tcPr>
          <w:p>
            <w:r>
              <w:rPr>
                <w:sz w:val="18"/>
              </w:rPr>
              <w:t>Fig. 1</w:t>
            </w:r>
          </w:p>
        </w:tc>
        <w:tc>
          <w:tcPr>
            <w:tcW w:type="dxa" w:w="3969"/>
            <w:shd w:val="clear" w:color="auto" w:fill="F8F9FA"/>
          </w:tcPr>
          <w:p>
            <w:r>
              <w:rPr>
                <w:sz w:val="18"/>
              </w:rPr>
              <w:t>Nombre total de trajets (membres vs casual)</w:t>
            </w:r>
          </w:p>
        </w:tc>
        <w:tc>
          <w:tcPr>
            <w:tcW w:type="dxa" w:w="2551"/>
            <w:shd w:val="clear" w:color="auto" w:fill="F8F9FA"/>
          </w:tcPr>
          <w:p>
            <w:r>
              <w:rPr>
                <w:sz w:val="18"/>
              </w:rPr>
              <w:t>01_rides_count.png</w:t>
            </w:r>
          </w:p>
        </w:tc>
        <w:tc>
          <w:tcPr>
            <w:tcW w:type="dxa" w:w="1134"/>
            <w:shd w:val="clear" w:color="auto" w:fill="F8F9FA"/>
          </w:tcPr>
          <w:p>
            <w:r>
              <w:rPr>
                <w:sz w:val="18"/>
              </w:rPr>
              <w:t>4.1</w:t>
            </w:r>
          </w:p>
        </w:tc>
      </w:tr>
      <w:tr>
        <w:tc>
          <w:tcPr>
            <w:tcW w:type="dxa" w:w="850"/>
          </w:tcPr>
          <w:p>
            <w:r>
              <w:rPr>
                <w:sz w:val="18"/>
              </w:rPr>
              <w:t>Fig. 2</w:t>
            </w:r>
          </w:p>
        </w:tc>
        <w:tc>
          <w:tcPr>
            <w:tcW w:type="dxa" w:w="3969"/>
          </w:tcPr>
          <w:p>
            <w:r>
              <w:rPr>
                <w:sz w:val="18"/>
              </w:rPr>
              <w:t>Durée moyenne des trajets (minutes)</w:t>
            </w:r>
          </w:p>
        </w:tc>
        <w:tc>
          <w:tcPr>
            <w:tcW w:type="dxa" w:w="2551"/>
          </w:tcPr>
          <w:p>
            <w:r>
              <w:rPr>
                <w:sz w:val="18"/>
              </w:rPr>
              <w:t>02_avg_ride_length.png</w:t>
            </w:r>
          </w:p>
        </w:tc>
        <w:tc>
          <w:tcPr>
            <w:tcW w:type="dxa" w:w="1134"/>
          </w:tcPr>
          <w:p>
            <w:r>
              <w:rPr>
                <w:sz w:val="18"/>
              </w:rPr>
              <w:t>4.1</w:t>
            </w:r>
          </w:p>
        </w:tc>
      </w:tr>
      <w:tr>
        <w:tc>
          <w:tcPr>
            <w:tcW w:type="dxa" w:w="850"/>
            <w:shd w:val="clear" w:color="auto" w:fill="F8F9FA"/>
          </w:tcPr>
          <w:p>
            <w:r>
              <w:rPr>
                <w:sz w:val="18"/>
              </w:rPr>
              <w:t>Fig. 3</w:t>
            </w:r>
          </w:p>
        </w:tc>
        <w:tc>
          <w:tcPr>
            <w:tcW w:type="dxa" w:w="3969"/>
            <w:shd w:val="clear" w:color="auto" w:fill="F8F9FA"/>
          </w:tcPr>
          <w:p>
            <w:r>
              <w:rPr>
                <w:sz w:val="18"/>
              </w:rPr>
              <w:t>Trajets par jour de la semaine</w:t>
            </w:r>
          </w:p>
        </w:tc>
        <w:tc>
          <w:tcPr>
            <w:tcW w:type="dxa" w:w="2551"/>
            <w:shd w:val="clear" w:color="auto" w:fill="F8F9FA"/>
          </w:tcPr>
          <w:p>
            <w:r>
              <w:rPr>
                <w:sz w:val="18"/>
              </w:rPr>
              <w:t>03_rides_by_dow.png</w:t>
            </w:r>
          </w:p>
        </w:tc>
        <w:tc>
          <w:tcPr>
            <w:tcW w:type="dxa" w:w="1134"/>
            <w:shd w:val="clear" w:color="auto" w:fill="F8F9FA"/>
          </w:tcPr>
          <w:p>
            <w:r>
              <w:rPr>
                <w:sz w:val="18"/>
              </w:rPr>
              <w:t>4.2</w:t>
            </w:r>
          </w:p>
        </w:tc>
      </w:tr>
      <w:tr>
        <w:tc>
          <w:tcPr>
            <w:tcW w:type="dxa" w:w="850"/>
          </w:tcPr>
          <w:p>
            <w:r>
              <w:rPr>
                <w:sz w:val="18"/>
              </w:rPr>
              <w:t>Fig. 4</w:t>
            </w:r>
          </w:p>
        </w:tc>
        <w:tc>
          <w:tcPr>
            <w:tcW w:type="dxa" w:w="3969"/>
          </w:tcPr>
          <w:p>
            <w:r>
              <w:rPr>
                <w:sz w:val="18"/>
              </w:rPr>
              <w:t>Évolution mensuelle des trajets (2019–2020)</w:t>
            </w:r>
          </w:p>
        </w:tc>
        <w:tc>
          <w:tcPr>
            <w:tcW w:type="dxa" w:w="2551"/>
          </w:tcPr>
          <w:p>
            <w:r>
              <w:rPr>
                <w:sz w:val="18"/>
              </w:rPr>
              <w:t>04_rides_by_month.png</w:t>
            </w:r>
          </w:p>
        </w:tc>
        <w:tc>
          <w:tcPr>
            <w:tcW w:type="dxa" w:w="1134"/>
          </w:tcPr>
          <w:p>
            <w:r>
              <w:rPr>
                <w:sz w:val="18"/>
              </w:rPr>
              <w:t>4.2</w:t>
            </w:r>
          </w:p>
        </w:tc>
      </w:tr>
      <w:tr>
        <w:tc>
          <w:tcPr>
            <w:tcW w:type="dxa" w:w="850"/>
            <w:shd w:val="clear" w:color="auto" w:fill="F8F9FA"/>
          </w:tcPr>
          <w:p>
            <w:r>
              <w:rPr>
                <w:sz w:val="18"/>
              </w:rPr>
              <w:t>Fig. 5</w:t>
            </w:r>
          </w:p>
        </w:tc>
        <w:tc>
          <w:tcPr>
            <w:tcW w:type="dxa" w:w="3969"/>
            <w:shd w:val="clear" w:color="auto" w:fill="F8F9FA"/>
          </w:tcPr>
          <w:p>
            <w:r>
              <w:rPr>
                <w:sz w:val="18"/>
              </w:rPr>
              <w:t>Répartition des trajets par heure de départ</w:t>
            </w:r>
          </w:p>
        </w:tc>
        <w:tc>
          <w:tcPr>
            <w:tcW w:type="dxa" w:w="2551"/>
            <w:shd w:val="clear" w:color="auto" w:fill="F8F9FA"/>
          </w:tcPr>
          <w:p>
            <w:r>
              <w:rPr>
                <w:sz w:val="18"/>
              </w:rPr>
              <w:t>07_rides_by_hour.png</w:t>
            </w:r>
          </w:p>
        </w:tc>
        <w:tc>
          <w:tcPr>
            <w:tcW w:type="dxa" w:w="1134"/>
            <w:shd w:val="clear" w:color="auto" w:fill="F8F9FA"/>
          </w:tcPr>
          <w:p>
            <w:r>
              <w:rPr>
                <w:sz w:val="18"/>
              </w:rPr>
              <w:t>4.2</w:t>
            </w:r>
          </w:p>
        </w:tc>
      </w:tr>
      <w:tr>
        <w:tc>
          <w:tcPr>
            <w:tcW w:type="dxa" w:w="850"/>
          </w:tcPr>
          <w:p>
            <w:r>
              <w:rPr>
                <w:sz w:val="18"/>
              </w:rPr>
              <w:t>Fig. 6</w:t>
            </w:r>
          </w:p>
        </w:tc>
        <w:tc>
          <w:tcPr>
            <w:tcW w:type="dxa" w:w="3969"/>
          </w:tcPr>
          <w:p>
            <w:r>
              <w:rPr>
                <w:sz w:val="18"/>
              </w:rPr>
              <w:t>Durée moyenne par jour de la semaine</w:t>
            </w:r>
          </w:p>
        </w:tc>
        <w:tc>
          <w:tcPr>
            <w:tcW w:type="dxa" w:w="2551"/>
          </w:tcPr>
          <w:p>
            <w:r>
              <w:rPr>
                <w:sz w:val="18"/>
              </w:rPr>
              <w:t>08_avg_length_by_dow.png</w:t>
            </w:r>
          </w:p>
        </w:tc>
        <w:tc>
          <w:tcPr>
            <w:tcW w:type="dxa" w:w="1134"/>
          </w:tcPr>
          <w:p>
            <w:r>
              <w:rPr>
                <w:sz w:val="18"/>
              </w:rPr>
              <w:t>4.2</w:t>
            </w:r>
          </w:p>
        </w:tc>
      </w:tr>
      <w:tr>
        <w:tc>
          <w:tcPr>
            <w:tcW w:type="dxa" w:w="850"/>
            <w:shd w:val="clear" w:color="auto" w:fill="F8F9FA"/>
          </w:tcPr>
          <w:p>
            <w:r>
              <w:rPr>
                <w:sz w:val="18"/>
              </w:rPr>
              <w:t>Fig. 7</w:t>
            </w:r>
          </w:p>
        </w:tc>
        <w:tc>
          <w:tcPr>
            <w:tcW w:type="dxa" w:w="3969"/>
            <w:shd w:val="clear" w:color="auto" w:fill="F8F9FA"/>
          </w:tcPr>
          <w:p>
            <w:r>
              <w:rPr>
                <w:sz w:val="18"/>
              </w:rPr>
              <w:t>Types de vélos utilisés (% par utilisateur)</w:t>
            </w:r>
          </w:p>
        </w:tc>
        <w:tc>
          <w:tcPr>
            <w:tcW w:type="dxa" w:w="2551"/>
            <w:shd w:val="clear" w:color="auto" w:fill="F8F9FA"/>
          </w:tcPr>
          <w:p>
            <w:r>
              <w:rPr>
                <w:sz w:val="18"/>
              </w:rPr>
              <w:t>05_bike_types.png</w:t>
            </w:r>
          </w:p>
        </w:tc>
        <w:tc>
          <w:tcPr>
            <w:tcW w:type="dxa" w:w="1134"/>
            <w:shd w:val="clear" w:color="auto" w:fill="F8F9FA"/>
          </w:tcPr>
          <w:p>
            <w:r>
              <w:rPr>
                <w:sz w:val="18"/>
              </w:rPr>
              <w:t>4.3</w:t>
            </w:r>
          </w:p>
        </w:tc>
      </w:tr>
      <w:tr>
        <w:tc>
          <w:tcPr>
            <w:tcW w:type="dxa" w:w="850"/>
          </w:tcPr>
          <w:p>
            <w:r>
              <w:rPr>
                <w:sz w:val="18"/>
              </w:rPr>
              <w:t>Fig. 8</w:t>
            </w:r>
          </w:p>
        </w:tc>
        <w:tc>
          <w:tcPr>
            <w:tcW w:type="dxa" w:w="3969"/>
          </w:tcPr>
          <w:p>
            <w:r>
              <w:rPr>
                <w:sz w:val="18"/>
              </w:rPr>
              <w:t>Top 10 stations de départ — Casual riders</w:t>
            </w:r>
          </w:p>
        </w:tc>
        <w:tc>
          <w:tcPr>
            <w:tcW w:type="dxa" w:w="2551"/>
          </w:tcPr>
          <w:p>
            <w:r>
              <w:rPr>
                <w:sz w:val="18"/>
              </w:rPr>
              <w:t>06_top10_stations.png</w:t>
            </w:r>
          </w:p>
        </w:tc>
        <w:tc>
          <w:tcPr>
            <w:tcW w:type="dxa" w:w="1134"/>
          </w:tcPr>
          <w:p>
            <w:r>
              <w:rPr>
                <w:sz w:val="18"/>
              </w:rPr>
              <w:t>4.4</w:t>
            </w:r>
          </w:p>
        </w:tc>
      </w:tr>
    </w:tbl>
    <w:p>
      <w:pPr>
        <w:spacing w:after="80"/>
      </w:pPr>
    </w:p>
    <w:p>
      <w:r>
        <w:br w:type="page"/>
      </w:r>
    </w:p>
    <w:p>
      <w:pPr>
        <w:spacing w:before="280" w:after="80"/>
        <w:pBdr>
          <w:bottom w:val="single" w:sz="6" w:space="4" w:color="1A73E8"/>
        </w:pBdr>
      </w:pPr>
      <w:r>
        <w:rPr>
          <w:b/>
          <w:color w:val="1A73E8"/>
          <w:sz w:val="32"/>
        </w:rPr>
        <w:t xml:space="preserve">1.  </w:t>
      </w:r>
      <w:r>
        <w:rPr>
          <w:b/>
          <w:color w:val="202124"/>
          <w:sz w:val="32"/>
        </w:rPr>
        <w:t>Contexte &amp; Problématique Business</w:t>
      </w:r>
    </w:p>
    <w:p>
      <w:pPr>
        <w:spacing w:after="120"/>
      </w:pPr>
      <w:r>
        <w:rPr>
          <w:b w:val="0"/>
          <w:i w:val="0"/>
          <w:color w:val="202124"/>
          <w:sz w:val="20"/>
        </w:rPr>
        <w:t>Cyclistic est un programme de bike-share basé à Chicago comptant plus de 5 800 vélos géolocalisés répartis sur 692 stations. Lancé en 2016, le service propose une flexibilité tarifaire — pass journée, pass trajet unique ou abonnement annuel — qui a permis d'attirer un large public d'utilisateurs aux profils variés.</w:t>
      </w:r>
    </w:p>
    <w:p>
      <w:pPr>
        <w:spacing w:after="120"/>
      </w:pPr>
      <w:r>
        <w:rPr>
          <w:b w:val="0"/>
          <w:i w:val="0"/>
          <w:color w:val="202124"/>
          <w:sz w:val="20"/>
        </w:rPr>
        <w:t>Les analystes financiers ont établi que les membres annuels génèrent une rentabilité significativement supérieure. La Director of Marketing Lily Moreno a identifié une opportunité stratégique : maximiser la conversion des casual riders existants en membres annuels plutôt que de cibler exclusivement de nouveaux clients.</w:t>
      </w:r>
    </w:p>
    <w:p>
      <w:pPr>
        <w:spacing w:before="200" w:after="80"/>
      </w:pPr>
      <w:r>
        <w:rPr>
          <w:b/>
          <w:color w:val="202124"/>
          <w:sz w:val="24"/>
        </w:rPr>
        <w:t>1.1  Question d'analyse principale</w:t>
      </w:r>
    </w:p>
    <w:tbl>
      <w:tblPr>
        <w:tblW w:type="auto" w:w="0"/>
        <w:jc w:val="center"/>
        <w:tblLook w:firstColumn="1" w:firstRow="1" w:lastColumn="0" w:lastRow="0" w:noHBand="0" w:noVBand="1" w:val="04A0"/>
      </w:tblPr>
      <w:tblGrid>
        <w:gridCol w:w="9406"/>
      </w:tblGrid>
      <w:tr>
        <w:tc>
          <w:tcPr>
            <w:tcW w:type="dxa" w:w="9406"/>
            <w:shd w:val="clear" w:color="auto" w:fill="F8F9FA"/>
          </w:tcPr>
          <w:p>
            <w:pPr>
              <w:jc w:val="center"/>
            </w:pPr>
            <w:r>
              <w:rPr>
                <w:i/>
                <w:color w:val="1A73E8"/>
                <w:sz w:val="24"/>
              </w:rPr>
              <w:t>« Comment les membres annuels et les casual riders utilisent-ils les vélos Cyclistic différemment ? »</w:t>
            </w:r>
          </w:p>
        </w:tc>
      </w:tr>
    </w:tbl>
    <w:p/>
    <w:p>
      <w:pPr>
        <w:spacing w:before="200" w:after="80"/>
      </w:pPr>
      <w:r>
        <w:rPr>
          <w:b/>
          <w:color w:val="202124"/>
          <w:sz w:val="24"/>
        </w:rPr>
        <w:t>1.2  Parties prenantes</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73E8"/>
          </w:tcPr>
          <w:p>
            <w:pPr>
              <w:jc w:val="center"/>
            </w:pPr>
            <w:r>
              <w:rPr>
                <w:b/>
                <w:color w:val="FFFFFF"/>
                <w:sz w:val="18"/>
              </w:rPr>
              <w:t>Partie prenante</w:t>
            </w:r>
          </w:p>
        </w:tc>
        <w:tc>
          <w:tcPr>
            <w:tcW w:type="dxa" w:w="3402"/>
            <w:shd w:val="clear" w:color="auto" w:fill="1A73E8"/>
          </w:tcPr>
          <w:p>
            <w:pPr>
              <w:jc w:val="center"/>
            </w:pPr>
            <w:r>
              <w:rPr>
                <w:b/>
                <w:color w:val="FFFFFF"/>
                <w:sz w:val="18"/>
              </w:rPr>
              <w:t>Rôle</w:t>
            </w:r>
          </w:p>
        </w:tc>
        <w:tc>
          <w:tcPr>
            <w:tcW w:type="dxa" w:w="3118"/>
            <w:shd w:val="clear" w:color="auto" w:fill="1A73E8"/>
          </w:tcPr>
          <w:p>
            <w:pPr>
              <w:jc w:val="center"/>
            </w:pPr>
            <w:r>
              <w:rPr>
                <w:b/>
                <w:color w:val="FFFFFF"/>
                <w:sz w:val="18"/>
              </w:rPr>
              <w:t>Attente</w:t>
            </w:r>
          </w:p>
        </w:tc>
      </w:tr>
      <w:tr>
        <w:tc>
          <w:tcPr>
            <w:tcW w:type="dxa" w:w="2551"/>
            <w:shd w:val="clear" w:color="auto" w:fill="F8F9FA"/>
          </w:tcPr>
          <w:p>
            <w:r>
              <w:rPr>
                <w:sz w:val="18"/>
              </w:rPr>
              <w:t>Lily Moreno</w:t>
            </w:r>
          </w:p>
        </w:tc>
        <w:tc>
          <w:tcPr>
            <w:tcW w:type="dxa" w:w="3402"/>
            <w:shd w:val="clear" w:color="auto" w:fill="F8F9FA"/>
          </w:tcPr>
          <w:p>
            <w:r>
              <w:rPr>
                <w:sz w:val="18"/>
              </w:rPr>
              <w:t>Director of Marketing — commanditaire</w:t>
            </w:r>
          </w:p>
        </w:tc>
        <w:tc>
          <w:tcPr>
            <w:tcW w:type="dxa" w:w="3118"/>
            <w:shd w:val="clear" w:color="auto" w:fill="F8F9FA"/>
          </w:tcPr>
          <w:p>
            <w:r>
              <w:rPr>
                <w:sz w:val="18"/>
              </w:rPr>
              <w:t>Recommandations actionnables basées sur les données</w:t>
            </w:r>
          </w:p>
        </w:tc>
      </w:tr>
      <w:tr>
        <w:tc>
          <w:tcPr>
            <w:tcW w:type="dxa" w:w="2551"/>
          </w:tcPr>
          <w:p>
            <w:r>
              <w:rPr>
                <w:sz w:val="18"/>
              </w:rPr>
              <w:t>Cyclistic Executive Team</w:t>
            </w:r>
          </w:p>
        </w:tc>
        <w:tc>
          <w:tcPr>
            <w:tcW w:type="dxa" w:w="3402"/>
          </w:tcPr>
          <w:p>
            <w:r>
              <w:rPr>
                <w:sz w:val="18"/>
              </w:rPr>
              <w:t>Décisionnaires finaux</w:t>
            </w:r>
          </w:p>
        </w:tc>
        <w:tc>
          <w:tcPr>
            <w:tcW w:type="dxa" w:w="3118"/>
          </w:tcPr>
          <w:p>
            <w:r>
              <w:rPr>
                <w:sz w:val="18"/>
              </w:rPr>
              <w:t>Validation via visualisations + données solides</w:t>
            </w:r>
          </w:p>
        </w:tc>
      </w:tr>
      <w:tr>
        <w:tc>
          <w:tcPr>
            <w:tcW w:type="dxa" w:w="2551"/>
            <w:shd w:val="clear" w:color="auto" w:fill="F8F9FA"/>
          </w:tcPr>
          <w:p>
            <w:r>
              <w:rPr>
                <w:sz w:val="18"/>
              </w:rPr>
              <w:t>Marketing Analytics Team</w:t>
            </w:r>
          </w:p>
        </w:tc>
        <w:tc>
          <w:tcPr>
            <w:tcW w:type="dxa" w:w="3402"/>
            <w:shd w:val="clear" w:color="auto" w:fill="F8F9FA"/>
          </w:tcPr>
          <w:p>
            <w:r>
              <w:rPr>
                <w:sz w:val="18"/>
              </w:rPr>
              <w:t>Implémentation</w:t>
            </w:r>
          </w:p>
        </w:tc>
        <w:tc>
          <w:tcPr>
            <w:tcW w:type="dxa" w:w="3118"/>
            <w:shd w:val="clear" w:color="auto" w:fill="F8F9FA"/>
          </w:tcPr>
          <w:p>
            <w:r>
              <w:rPr>
                <w:sz w:val="18"/>
              </w:rPr>
              <w:t>Données exploitables pour les campagnes</w:t>
            </w:r>
          </w:p>
        </w:tc>
      </w:tr>
    </w:tbl>
    <w:p>
      <w:pPr>
        <w:spacing w:after="80"/>
      </w:pPr>
    </w:p>
    <w:p>
      <w:r>
        <w:br w:type="page"/>
      </w:r>
    </w:p>
    <w:p>
      <w:pPr>
        <w:spacing w:before="280" w:after="80"/>
        <w:pBdr>
          <w:bottom w:val="single" w:sz="6" w:space="4" w:color="1A73E8"/>
        </w:pBdr>
      </w:pPr>
      <w:r>
        <w:rPr>
          <w:b/>
          <w:color w:val="1A73E8"/>
          <w:sz w:val="32"/>
        </w:rPr>
        <w:t xml:space="preserve">2.  </w:t>
      </w:r>
      <w:r>
        <w:rPr>
          <w:b/>
          <w:color w:val="202124"/>
          <w:sz w:val="32"/>
        </w:rPr>
        <w:t>Sources de données &amp; Méthodologie</w:t>
      </w:r>
    </w:p>
    <w:p>
      <w:pPr>
        <w:spacing w:before="200" w:after="80"/>
      </w:pPr>
      <w:r>
        <w:rPr>
          <w:b/>
          <w:color w:val="202124"/>
          <w:sz w:val="24"/>
        </w:rPr>
        <w:t>2.1  Fichiers utilisés</w:t>
      </w:r>
    </w:p>
    <w:tbl>
      <w:tblPr>
        <w:tblStyle w:val="TableGrid"/>
        <w:tblW w:type="auto" w:w="0"/>
        <w:jc w:val="center"/>
        <w:tblLook w:firstColumn="1" w:firstRow="1" w:lastColumn="0" w:lastRow="0" w:noHBand="0" w:noVBand="1" w:val="04A0"/>
      </w:tblPr>
      <w:tblGrid>
        <w:gridCol w:w="3135"/>
        <w:gridCol w:w="3135"/>
        <w:gridCol w:w="3135"/>
      </w:tblGrid>
      <w:tr>
        <w:tc>
          <w:tcPr>
            <w:tcW w:type="dxa" w:w="4252"/>
            <w:shd w:val="clear" w:color="auto" w:fill="1A73E8"/>
          </w:tcPr>
          <w:p>
            <w:pPr>
              <w:jc w:val="center"/>
            </w:pPr>
            <w:r>
              <w:rPr>
                <w:b/>
                <w:color w:val="FFFFFF"/>
                <w:sz w:val="18"/>
              </w:rPr>
              <w:t>Fichier</w:t>
            </w:r>
          </w:p>
        </w:tc>
        <w:tc>
          <w:tcPr>
            <w:tcW w:type="dxa" w:w="2268"/>
            <w:shd w:val="clear" w:color="auto" w:fill="1A73E8"/>
          </w:tcPr>
          <w:p>
            <w:pPr>
              <w:jc w:val="center"/>
            </w:pPr>
            <w:r>
              <w:rPr>
                <w:b/>
                <w:color w:val="FFFFFF"/>
                <w:sz w:val="18"/>
              </w:rPr>
              <w:t>Période</w:t>
            </w:r>
          </w:p>
        </w:tc>
        <w:tc>
          <w:tcPr>
            <w:tcW w:type="dxa" w:w="2551"/>
            <w:shd w:val="clear" w:color="auto" w:fill="1A73E8"/>
          </w:tcPr>
          <w:p>
            <w:pPr>
              <w:jc w:val="center"/>
            </w:pPr>
            <w:r>
              <w:rPr>
                <w:b/>
                <w:color w:val="FFFFFF"/>
                <w:sz w:val="18"/>
              </w:rPr>
              <w:t>Lignes brutes</w:t>
            </w:r>
          </w:p>
        </w:tc>
      </w:tr>
      <w:tr>
        <w:tc>
          <w:tcPr>
            <w:tcW w:type="dxa" w:w="4252"/>
            <w:shd w:val="clear" w:color="auto" w:fill="F8F9FA"/>
          </w:tcPr>
          <w:p>
            <w:r>
              <w:rPr>
                <w:sz w:val="18"/>
              </w:rPr>
              <w:t>Divvy_Trips_2019_Q1.csv</w:t>
            </w:r>
          </w:p>
        </w:tc>
        <w:tc>
          <w:tcPr>
            <w:tcW w:type="dxa" w:w="2268"/>
            <w:shd w:val="clear" w:color="auto" w:fill="F8F9FA"/>
          </w:tcPr>
          <w:p>
            <w:r>
              <w:rPr>
                <w:sz w:val="18"/>
              </w:rPr>
              <w:t>Janv.–Mars 2019</w:t>
            </w:r>
          </w:p>
        </w:tc>
        <w:tc>
          <w:tcPr>
            <w:tcW w:type="dxa" w:w="2551"/>
            <w:shd w:val="clear" w:color="auto" w:fill="F8F9FA"/>
          </w:tcPr>
          <w:p>
            <w:r>
              <w:rPr>
                <w:sz w:val="18"/>
              </w:rPr>
              <w:t>365 069</w:t>
            </w:r>
          </w:p>
        </w:tc>
      </w:tr>
      <w:tr>
        <w:tc>
          <w:tcPr>
            <w:tcW w:type="dxa" w:w="4252"/>
          </w:tcPr>
          <w:p>
            <w:r>
              <w:rPr>
                <w:sz w:val="18"/>
              </w:rPr>
              <w:t>Divvy_Trips_2020_Q1.csv</w:t>
            </w:r>
          </w:p>
        </w:tc>
        <w:tc>
          <w:tcPr>
            <w:tcW w:type="dxa" w:w="2268"/>
          </w:tcPr>
          <w:p>
            <w:r>
              <w:rPr>
                <w:sz w:val="18"/>
              </w:rPr>
              <w:t>Janv.–Mars 2020</w:t>
            </w:r>
          </w:p>
        </w:tc>
        <w:tc>
          <w:tcPr>
            <w:tcW w:type="dxa" w:w="2551"/>
          </w:tcPr>
          <w:p>
            <w:r>
              <w:rPr>
                <w:sz w:val="18"/>
              </w:rPr>
              <w:t>426 887</w:t>
            </w:r>
          </w:p>
        </w:tc>
      </w:tr>
      <w:tr>
        <w:tc>
          <w:tcPr>
            <w:tcW w:type="dxa" w:w="4252"/>
            <w:shd w:val="clear" w:color="auto" w:fill="F8F9FA"/>
          </w:tcPr>
          <w:p>
            <w:r>
              <w:rPr>
                <w:sz w:val="18"/>
              </w:rPr>
              <w:t>202004-divvy-tripdata.csv</w:t>
            </w:r>
          </w:p>
        </w:tc>
        <w:tc>
          <w:tcPr>
            <w:tcW w:type="dxa" w:w="2268"/>
            <w:shd w:val="clear" w:color="auto" w:fill="F8F9FA"/>
          </w:tcPr>
          <w:p>
            <w:r>
              <w:rPr>
                <w:sz w:val="18"/>
              </w:rPr>
              <w:t>Avril 2020</w:t>
            </w:r>
          </w:p>
        </w:tc>
        <w:tc>
          <w:tcPr>
            <w:tcW w:type="dxa" w:w="2551"/>
            <w:shd w:val="clear" w:color="auto" w:fill="F8F9FA"/>
          </w:tcPr>
          <w:p>
            <w:r>
              <w:rPr>
                <w:sz w:val="18"/>
              </w:rPr>
              <w:t>84 776</w:t>
            </w:r>
          </w:p>
        </w:tc>
      </w:tr>
      <w:tr>
        <w:tc>
          <w:tcPr>
            <w:tcW w:type="dxa" w:w="4252"/>
          </w:tcPr>
          <w:p>
            <w:r>
              <w:rPr>
                <w:sz w:val="18"/>
              </w:rPr>
              <w:t>202005-divvy-tripdata.csv</w:t>
            </w:r>
          </w:p>
        </w:tc>
        <w:tc>
          <w:tcPr>
            <w:tcW w:type="dxa" w:w="2268"/>
          </w:tcPr>
          <w:p>
            <w:r>
              <w:rPr>
                <w:sz w:val="18"/>
              </w:rPr>
              <w:t>Mai 2020</w:t>
            </w:r>
          </w:p>
        </w:tc>
        <w:tc>
          <w:tcPr>
            <w:tcW w:type="dxa" w:w="2551"/>
          </w:tcPr>
          <w:p>
            <w:r>
              <w:rPr>
                <w:sz w:val="18"/>
              </w:rPr>
              <w:t>200 274</w:t>
            </w:r>
          </w:p>
        </w:tc>
      </w:tr>
      <w:tr>
        <w:tc>
          <w:tcPr>
            <w:tcW w:type="dxa" w:w="4252"/>
            <w:shd w:val="clear" w:color="auto" w:fill="F8F9FA"/>
          </w:tcPr>
          <w:p>
            <w:r>
              <w:rPr>
                <w:sz w:val="18"/>
              </w:rPr>
              <w:t>202006-divvy-tripdata.csv</w:t>
            </w:r>
          </w:p>
        </w:tc>
        <w:tc>
          <w:tcPr>
            <w:tcW w:type="dxa" w:w="2268"/>
            <w:shd w:val="clear" w:color="auto" w:fill="F8F9FA"/>
          </w:tcPr>
          <w:p>
            <w:r>
              <w:rPr>
                <w:sz w:val="18"/>
              </w:rPr>
              <w:t>Juin 2020</w:t>
            </w:r>
          </w:p>
        </w:tc>
        <w:tc>
          <w:tcPr>
            <w:tcW w:type="dxa" w:w="2551"/>
            <w:shd w:val="clear" w:color="auto" w:fill="F8F9FA"/>
          </w:tcPr>
          <w:p>
            <w:r>
              <w:rPr>
                <w:sz w:val="18"/>
              </w:rPr>
              <w:t>343 005</w:t>
            </w:r>
          </w:p>
        </w:tc>
      </w:tr>
      <w:tr>
        <w:tc>
          <w:tcPr>
            <w:tcW w:type="dxa" w:w="4252"/>
          </w:tcPr>
          <w:p>
            <w:r>
              <w:rPr>
                <w:sz w:val="18"/>
              </w:rPr>
              <w:t>202007-divvy-tripdata.csv</w:t>
            </w:r>
          </w:p>
        </w:tc>
        <w:tc>
          <w:tcPr>
            <w:tcW w:type="dxa" w:w="2268"/>
          </w:tcPr>
          <w:p>
            <w:r>
              <w:rPr>
                <w:sz w:val="18"/>
              </w:rPr>
              <w:t>Juillet 2020</w:t>
            </w:r>
          </w:p>
        </w:tc>
        <w:tc>
          <w:tcPr>
            <w:tcW w:type="dxa" w:w="2551"/>
          </w:tcPr>
          <w:p>
            <w:r>
              <w:rPr>
                <w:sz w:val="18"/>
              </w:rPr>
              <w:t>551 480</w:t>
            </w:r>
          </w:p>
        </w:tc>
      </w:tr>
      <w:tr>
        <w:tc>
          <w:tcPr>
            <w:tcW w:type="dxa" w:w="4252"/>
            <w:shd w:val="clear" w:color="auto" w:fill="F8F9FA"/>
          </w:tcPr>
          <w:p>
            <w:r>
              <w:rPr>
                <w:sz w:val="18"/>
              </w:rPr>
              <w:t>202008-divvy-tripdata.csv</w:t>
            </w:r>
          </w:p>
        </w:tc>
        <w:tc>
          <w:tcPr>
            <w:tcW w:type="dxa" w:w="2268"/>
            <w:shd w:val="clear" w:color="auto" w:fill="F8F9FA"/>
          </w:tcPr>
          <w:p>
            <w:r>
              <w:rPr>
                <w:sz w:val="18"/>
              </w:rPr>
              <w:t>Août 2020</w:t>
            </w:r>
          </w:p>
        </w:tc>
        <w:tc>
          <w:tcPr>
            <w:tcW w:type="dxa" w:w="2551"/>
            <w:shd w:val="clear" w:color="auto" w:fill="F8F9FA"/>
          </w:tcPr>
          <w:p>
            <w:r>
              <w:rPr>
                <w:sz w:val="18"/>
              </w:rPr>
              <w:t>622 361</w:t>
            </w:r>
          </w:p>
        </w:tc>
      </w:tr>
      <w:tr>
        <w:tc>
          <w:tcPr>
            <w:tcW w:type="dxa" w:w="4252"/>
          </w:tcPr>
          <w:p>
            <w:r>
              <w:rPr>
                <w:sz w:val="18"/>
              </w:rPr>
              <w:t>202009-divvy-tripdata.csv</w:t>
            </w:r>
          </w:p>
        </w:tc>
        <w:tc>
          <w:tcPr>
            <w:tcW w:type="dxa" w:w="2268"/>
          </w:tcPr>
          <w:p>
            <w:r>
              <w:rPr>
                <w:sz w:val="18"/>
              </w:rPr>
              <w:t>Septembre 2020</w:t>
            </w:r>
          </w:p>
        </w:tc>
        <w:tc>
          <w:tcPr>
            <w:tcW w:type="dxa" w:w="2551"/>
          </w:tcPr>
          <w:p>
            <w:r>
              <w:rPr>
                <w:sz w:val="18"/>
              </w:rPr>
              <w:t>532 958</w:t>
            </w:r>
          </w:p>
        </w:tc>
      </w:tr>
      <w:tr>
        <w:tc>
          <w:tcPr>
            <w:tcW w:type="dxa" w:w="4252"/>
            <w:shd w:val="clear" w:color="auto" w:fill="F8F9FA"/>
          </w:tcPr>
          <w:p>
            <w:r>
              <w:rPr>
                <w:sz w:val="18"/>
              </w:rPr>
              <w:t>202010-divvy-tripdata.csv</w:t>
            </w:r>
          </w:p>
        </w:tc>
        <w:tc>
          <w:tcPr>
            <w:tcW w:type="dxa" w:w="2268"/>
            <w:shd w:val="clear" w:color="auto" w:fill="F8F9FA"/>
          </w:tcPr>
          <w:p>
            <w:r>
              <w:rPr>
                <w:sz w:val="18"/>
              </w:rPr>
              <w:t>Octobre 2020</w:t>
            </w:r>
          </w:p>
        </w:tc>
        <w:tc>
          <w:tcPr>
            <w:tcW w:type="dxa" w:w="2551"/>
            <w:shd w:val="clear" w:color="auto" w:fill="F8F9FA"/>
          </w:tcPr>
          <w:p>
            <w:r>
              <w:rPr>
                <w:sz w:val="18"/>
              </w:rPr>
              <w:t>388 653</w:t>
            </w:r>
          </w:p>
        </w:tc>
      </w:tr>
      <w:tr>
        <w:tc>
          <w:tcPr>
            <w:tcW w:type="dxa" w:w="4252"/>
          </w:tcPr>
          <w:p>
            <w:r>
              <w:rPr>
                <w:sz w:val="18"/>
              </w:rPr>
              <w:t>202011-divvy-tripdata.csv</w:t>
            </w:r>
          </w:p>
        </w:tc>
        <w:tc>
          <w:tcPr>
            <w:tcW w:type="dxa" w:w="2268"/>
          </w:tcPr>
          <w:p>
            <w:r>
              <w:rPr>
                <w:sz w:val="18"/>
              </w:rPr>
              <w:t>Novembre 2020</w:t>
            </w:r>
          </w:p>
        </w:tc>
        <w:tc>
          <w:tcPr>
            <w:tcW w:type="dxa" w:w="2551"/>
          </w:tcPr>
          <w:p>
            <w:r>
              <w:rPr>
                <w:sz w:val="18"/>
              </w:rPr>
              <w:t>259 716</w:t>
            </w:r>
          </w:p>
        </w:tc>
      </w:tr>
      <w:tr>
        <w:tc>
          <w:tcPr>
            <w:tcW w:type="dxa" w:w="4252"/>
            <w:shd w:val="clear" w:color="auto" w:fill="F8F9FA"/>
          </w:tcPr>
          <w:p>
            <w:r>
              <w:rPr>
                <w:sz w:val="18"/>
              </w:rPr>
              <w:t>202012-divvy-tripdata.csv</w:t>
            </w:r>
          </w:p>
        </w:tc>
        <w:tc>
          <w:tcPr>
            <w:tcW w:type="dxa" w:w="2268"/>
            <w:shd w:val="clear" w:color="auto" w:fill="F8F9FA"/>
          </w:tcPr>
          <w:p>
            <w:r>
              <w:rPr>
                <w:sz w:val="18"/>
              </w:rPr>
              <w:t>Décembre 2020</w:t>
            </w:r>
          </w:p>
        </w:tc>
        <w:tc>
          <w:tcPr>
            <w:tcW w:type="dxa" w:w="2551"/>
            <w:shd w:val="clear" w:color="auto" w:fill="F8F9FA"/>
          </w:tcPr>
          <w:p>
            <w:r>
              <w:rPr>
                <w:sz w:val="18"/>
              </w:rPr>
              <w:t>131 573</w:t>
            </w:r>
          </w:p>
        </w:tc>
      </w:tr>
      <w:tr>
        <w:tc>
          <w:tcPr>
            <w:tcW w:type="dxa" w:w="4252"/>
          </w:tcPr>
          <w:p>
            <w:r>
              <w:rPr>
                <w:sz w:val="18"/>
              </w:rPr>
              <w:t>TOTAL</w:t>
            </w:r>
          </w:p>
        </w:tc>
        <w:tc>
          <w:tcPr>
            <w:tcW w:type="dxa" w:w="2268"/>
          </w:tcPr>
          <w:p>
            <w:r>
              <w:rPr>
                <w:sz w:val="18"/>
              </w:rPr>
              <w:t>Jan 2019 – Déc 2020</w:t>
            </w:r>
          </w:p>
        </w:tc>
        <w:tc>
          <w:tcPr>
            <w:tcW w:type="dxa" w:w="2551"/>
          </w:tcPr>
          <w:p>
            <w:r>
              <w:rPr>
                <w:sz w:val="18"/>
              </w:rPr>
              <w:t>3 906 752</w:t>
            </w:r>
          </w:p>
        </w:tc>
      </w:tr>
    </w:tbl>
    <w:p>
      <w:pPr>
        <w:spacing w:after="80"/>
      </w:pPr>
    </w:p>
    <w:p>
      <w:pPr>
        <w:spacing w:before="200" w:after="80"/>
      </w:pPr>
      <w:r>
        <w:rPr>
          <w:b/>
          <w:color w:val="202124"/>
          <w:sz w:val="24"/>
        </w:rPr>
        <w:t>2.2  Crédibilité des données — ROCCC</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A73E8"/>
          </w:tcPr>
          <w:p>
            <w:pPr>
              <w:jc w:val="center"/>
            </w:pPr>
            <w:r>
              <w:rPr>
                <w:b/>
                <w:color w:val="FFFFFF"/>
                <w:sz w:val="18"/>
              </w:rPr>
              <w:t>Critère</w:t>
            </w:r>
          </w:p>
        </w:tc>
        <w:tc>
          <w:tcPr>
            <w:tcW w:type="dxa" w:w="850"/>
            <w:shd w:val="clear" w:color="auto" w:fill="1A73E8"/>
          </w:tcPr>
          <w:p>
            <w:pPr>
              <w:jc w:val="center"/>
            </w:pPr>
            <w:r>
              <w:rPr>
                <w:b/>
                <w:color w:val="FFFFFF"/>
                <w:sz w:val="18"/>
              </w:rPr>
              <w:t>Statut</w:t>
            </w:r>
          </w:p>
        </w:tc>
        <w:tc>
          <w:tcPr>
            <w:tcW w:type="dxa" w:w="6236"/>
            <w:shd w:val="clear" w:color="auto" w:fill="1A73E8"/>
          </w:tcPr>
          <w:p>
            <w:pPr>
              <w:jc w:val="center"/>
            </w:pPr>
            <w:r>
              <w:rPr>
                <w:b/>
                <w:color w:val="FFFFFF"/>
                <w:sz w:val="18"/>
              </w:rPr>
              <w:t>Détail</w:t>
            </w:r>
          </w:p>
        </w:tc>
      </w:tr>
      <w:tr>
        <w:tc>
          <w:tcPr>
            <w:tcW w:type="dxa" w:w="1984"/>
            <w:shd w:val="clear" w:color="auto" w:fill="F8F9FA"/>
          </w:tcPr>
          <w:p>
            <w:r>
              <w:rPr>
                <w:sz w:val="18"/>
              </w:rPr>
              <w:t>Reliable</w:t>
            </w:r>
          </w:p>
        </w:tc>
        <w:tc>
          <w:tcPr>
            <w:tcW w:type="dxa" w:w="850"/>
            <w:shd w:val="clear" w:color="auto" w:fill="F8F9FA"/>
          </w:tcPr>
          <w:p>
            <w:r>
              <w:rPr>
                <w:sz w:val="18"/>
              </w:rPr>
              <w:t>✅</w:t>
            </w:r>
          </w:p>
        </w:tc>
        <w:tc>
          <w:tcPr>
            <w:tcW w:type="dxa" w:w="6236"/>
            <w:shd w:val="clear" w:color="auto" w:fill="F8F9FA"/>
          </w:tcPr>
          <w:p>
            <w:r>
              <w:rPr>
                <w:sz w:val="18"/>
              </w:rPr>
              <w:t>Données opérationnelles collectées automatiquement par les capteurs</w:t>
            </w:r>
          </w:p>
        </w:tc>
      </w:tr>
      <w:tr>
        <w:tc>
          <w:tcPr>
            <w:tcW w:type="dxa" w:w="1984"/>
          </w:tcPr>
          <w:p>
            <w:r>
              <w:rPr>
                <w:sz w:val="18"/>
              </w:rPr>
              <w:t>Original</w:t>
            </w:r>
          </w:p>
        </w:tc>
        <w:tc>
          <w:tcPr>
            <w:tcW w:type="dxa" w:w="850"/>
          </w:tcPr>
          <w:p>
            <w:r>
              <w:rPr>
                <w:sz w:val="18"/>
              </w:rPr>
              <w:t>✅</w:t>
            </w:r>
          </w:p>
        </w:tc>
        <w:tc>
          <w:tcPr>
            <w:tcW w:type="dxa" w:w="6236"/>
          </w:tcPr>
          <w:p>
            <w:r>
              <w:rPr>
                <w:sz w:val="18"/>
              </w:rPr>
              <w:t>Source primaire : Motivate International Inc. — opérateur réel de Divvy</w:t>
            </w:r>
          </w:p>
        </w:tc>
      </w:tr>
      <w:tr>
        <w:tc>
          <w:tcPr>
            <w:tcW w:type="dxa" w:w="1984"/>
            <w:shd w:val="clear" w:color="auto" w:fill="F8F9FA"/>
          </w:tcPr>
          <w:p>
            <w:r>
              <w:rPr>
                <w:sz w:val="18"/>
              </w:rPr>
              <w:t>Comprehensive</w:t>
            </w:r>
          </w:p>
        </w:tc>
        <w:tc>
          <w:tcPr>
            <w:tcW w:type="dxa" w:w="850"/>
            <w:shd w:val="clear" w:color="auto" w:fill="F8F9FA"/>
          </w:tcPr>
          <w:p>
            <w:r>
              <w:rPr>
                <w:sz w:val="18"/>
              </w:rPr>
              <w:t>✅</w:t>
            </w:r>
          </w:p>
        </w:tc>
        <w:tc>
          <w:tcPr>
            <w:tcW w:type="dxa" w:w="6236"/>
            <w:shd w:val="clear" w:color="auto" w:fill="F8F9FA"/>
          </w:tcPr>
          <w:p>
            <w:r>
              <w:rPr>
                <w:sz w:val="18"/>
              </w:rPr>
              <w:t>Tous les trajets sur la période, aucun échantillonnage</w:t>
            </w:r>
          </w:p>
        </w:tc>
      </w:tr>
      <w:tr>
        <w:tc>
          <w:tcPr>
            <w:tcW w:type="dxa" w:w="1984"/>
          </w:tcPr>
          <w:p>
            <w:r>
              <w:rPr>
                <w:sz w:val="18"/>
              </w:rPr>
              <w:t>Current</w:t>
            </w:r>
          </w:p>
        </w:tc>
        <w:tc>
          <w:tcPr>
            <w:tcW w:type="dxa" w:w="850"/>
          </w:tcPr>
          <w:p>
            <w:r>
              <w:rPr>
                <w:sz w:val="18"/>
              </w:rPr>
              <w:t>⚠️</w:t>
            </w:r>
          </w:p>
        </w:tc>
        <w:tc>
          <w:tcPr>
            <w:tcW w:type="dxa" w:w="6236"/>
          </w:tcPr>
          <w:p>
            <w:r>
              <w:rPr>
                <w:sz w:val="18"/>
              </w:rPr>
              <w:t>2019–2020 : tendances solides, mise à jour 2022+ recommandée avant déploiement</w:t>
            </w:r>
          </w:p>
        </w:tc>
      </w:tr>
      <w:tr>
        <w:tc>
          <w:tcPr>
            <w:tcW w:type="dxa" w:w="1984"/>
            <w:shd w:val="clear" w:color="auto" w:fill="F8F9FA"/>
          </w:tcPr>
          <w:p>
            <w:r>
              <w:rPr>
                <w:sz w:val="18"/>
              </w:rPr>
              <w:t>Cited</w:t>
            </w:r>
          </w:p>
        </w:tc>
        <w:tc>
          <w:tcPr>
            <w:tcW w:type="dxa" w:w="850"/>
            <w:shd w:val="clear" w:color="auto" w:fill="F8F9FA"/>
          </w:tcPr>
          <w:p>
            <w:r>
              <w:rPr>
                <w:sz w:val="18"/>
              </w:rPr>
              <w:t>✅</w:t>
            </w:r>
          </w:p>
        </w:tc>
        <w:tc>
          <w:tcPr>
            <w:tcW w:type="dxa" w:w="6236"/>
            <w:shd w:val="clear" w:color="auto" w:fill="F8F9FA"/>
          </w:tcPr>
          <w:p>
            <w:r>
              <w:rPr>
                <w:sz w:val="18"/>
              </w:rPr>
              <w:t>Divvy Data License Agreement — usage public autorisé</w:t>
            </w:r>
          </w:p>
        </w:tc>
      </w:tr>
    </w:tbl>
    <w:p>
      <w:pPr>
        <w:spacing w:after="80"/>
      </w:pPr>
    </w:p>
    <w:p>
      <w:pPr>
        <w:spacing w:before="200" w:after="80"/>
      </w:pPr>
      <w:r>
        <w:rPr>
          <w:b/>
          <w:color w:val="202124"/>
          <w:sz w:val="24"/>
        </w:rPr>
        <w:t>2.3  Méthodologie — 6 phases Google Data Analytics</w:t>
      </w:r>
    </w:p>
    <w:tbl>
      <w:tblPr>
        <w:tblStyle w:val="TableGrid"/>
        <w:tblW w:type="auto" w:w="0"/>
        <w:jc w:val="center"/>
        <w:tblLook w:firstColumn="1" w:firstRow="1" w:lastColumn="0" w:lastRow="0" w:noHBand="0" w:noVBand="1" w:val="04A0"/>
      </w:tblPr>
      <w:tblGrid>
        <w:gridCol w:w="4703"/>
        <w:gridCol w:w="4703"/>
      </w:tblGrid>
      <w:tr>
        <w:tc>
          <w:tcPr>
            <w:tcW w:type="dxa" w:w="1587"/>
            <w:shd w:val="clear" w:color="auto" w:fill="E8F0FE"/>
          </w:tcPr>
          <w:p>
            <w:pPr>
              <w:jc w:val="center"/>
            </w:pPr>
            <w:r>
              <w:rPr>
                <w:b/>
                <w:color w:val="1A73E8"/>
                <w:sz w:val="20"/>
              </w:rPr>
              <w:t>Ask</w:t>
            </w:r>
          </w:p>
        </w:tc>
        <w:tc>
          <w:tcPr>
            <w:tcW w:type="dxa" w:w="4703"/>
          </w:tcPr>
          <w:p>
            <w:r>
              <w:rPr>
                <w:sz w:val="18"/>
              </w:rPr>
              <w:t>Définir la question business et identifier les parties prenantes</w:t>
            </w:r>
          </w:p>
        </w:tc>
      </w:tr>
      <w:tr>
        <w:tc>
          <w:tcPr>
            <w:tcW w:type="dxa" w:w="1587"/>
            <w:shd w:val="clear" w:color="auto" w:fill="E8F0FE"/>
          </w:tcPr>
          <w:p>
            <w:pPr>
              <w:jc w:val="center"/>
            </w:pPr>
            <w:r>
              <w:rPr>
                <w:b/>
                <w:color w:val="1A73E8"/>
                <w:sz w:val="20"/>
              </w:rPr>
              <w:t>Prepare</w:t>
            </w:r>
          </w:p>
        </w:tc>
        <w:tc>
          <w:tcPr>
            <w:tcW w:type="dxa" w:w="4703"/>
          </w:tcPr>
          <w:p>
            <w:r>
              <w:rPr>
                <w:sz w:val="18"/>
              </w:rPr>
              <w:t>Collecter et documenter les 11 fichiers sources (data/01_data_description.md)</w:t>
            </w:r>
          </w:p>
        </w:tc>
      </w:tr>
      <w:tr>
        <w:tc>
          <w:tcPr>
            <w:tcW w:type="dxa" w:w="1587"/>
            <w:shd w:val="clear" w:color="auto" w:fill="E8F0FE"/>
          </w:tcPr>
          <w:p>
            <w:pPr>
              <w:jc w:val="center"/>
            </w:pPr>
            <w:r>
              <w:rPr>
                <w:b/>
                <w:color w:val="1A73E8"/>
                <w:sz w:val="20"/>
              </w:rPr>
              <w:t>Process</w:t>
            </w:r>
          </w:p>
        </w:tc>
        <w:tc>
          <w:tcPr>
            <w:tcW w:type="dxa" w:w="4703"/>
          </w:tcPr>
          <w:p>
            <w:r>
              <w:rPr>
                <w:sz w:val="18"/>
              </w:rPr>
              <w:t>Nettoyage, harmonisation et consolidation (scripts/02_cleaning.py)</w:t>
            </w:r>
          </w:p>
        </w:tc>
      </w:tr>
      <w:tr>
        <w:tc>
          <w:tcPr>
            <w:tcW w:type="dxa" w:w="1587"/>
            <w:shd w:val="clear" w:color="auto" w:fill="E8F0FE"/>
          </w:tcPr>
          <w:p>
            <w:pPr>
              <w:jc w:val="center"/>
            </w:pPr>
            <w:r>
              <w:rPr>
                <w:b/>
                <w:color w:val="1A73E8"/>
                <w:sz w:val="20"/>
              </w:rPr>
              <w:t>Analyze</w:t>
            </w:r>
          </w:p>
        </w:tc>
        <w:tc>
          <w:tcPr>
            <w:tcW w:type="dxa" w:w="4703"/>
          </w:tcPr>
          <w:p>
            <w:r>
              <w:rPr>
                <w:sz w:val="18"/>
              </w:rPr>
              <w:t>Analyse descriptive Python + 12 requêtes SQL (03_analysis.py, 03_queries.sql)</w:t>
            </w:r>
          </w:p>
        </w:tc>
      </w:tr>
      <w:tr>
        <w:tc>
          <w:tcPr>
            <w:tcW w:type="dxa" w:w="1587"/>
            <w:shd w:val="clear" w:color="auto" w:fill="E8F0FE"/>
          </w:tcPr>
          <w:p>
            <w:pPr>
              <w:jc w:val="center"/>
            </w:pPr>
            <w:r>
              <w:rPr>
                <w:b/>
                <w:color w:val="1A73E8"/>
                <w:sz w:val="20"/>
              </w:rPr>
              <w:t>Share</w:t>
            </w:r>
          </w:p>
        </w:tc>
        <w:tc>
          <w:tcPr>
            <w:tcW w:type="dxa" w:w="4703"/>
          </w:tcPr>
          <w:p>
            <w:r>
              <w:rPr>
                <w:sz w:val="18"/>
              </w:rPr>
              <w:t>8 graphiques statiques (matplotlib/seaborn) + dashboard Plotly interactif</w:t>
            </w:r>
          </w:p>
        </w:tc>
      </w:tr>
      <w:tr>
        <w:tc>
          <w:tcPr>
            <w:tcW w:type="dxa" w:w="1587"/>
            <w:shd w:val="clear" w:color="auto" w:fill="E8F0FE"/>
          </w:tcPr>
          <w:p>
            <w:pPr>
              <w:jc w:val="center"/>
            </w:pPr>
            <w:r>
              <w:rPr>
                <w:b/>
                <w:color w:val="1A73E8"/>
                <w:sz w:val="20"/>
              </w:rPr>
              <w:t>Act</w:t>
            </w:r>
          </w:p>
        </w:tc>
        <w:tc>
          <w:tcPr>
            <w:tcW w:type="dxa" w:w="4703"/>
          </w:tcPr>
          <w:p>
            <w:r>
              <w:rPr>
                <w:sz w:val="18"/>
              </w:rPr>
              <w:t>Top 3 recommandations + rapport complet + export Tableau</w:t>
            </w:r>
          </w:p>
        </w:tc>
      </w:tr>
    </w:tbl>
    <w:p/>
    <w:p>
      <w:r>
        <w:br w:type="page"/>
      </w:r>
    </w:p>
    <w:p>
      <w:pPr>
        <w:spacing w:before="280" w:after="80"/>
        <w:pBdr>
          <w:bottom w:val="single" w:sz="6" w:space="4" w:color="1A73E8"/>
        </w:pBdr>
      </w:pPr>
      <w:r>
        <w:rPr>
          <w:b/>
          <w:color w:val="1A73E8"/>
          <w:sz w:val="32"/>
        </w:rPr>
        <w:t xml:space="preserve">3.  </w:t>
      </w:r>
      <w:r>
        <w:rPr>
          <w:b/>
          <w:color w:val="202124"/>
          <w:sz w:val="32"/>
        </w:rPr>
        <w:t>Nettoyage des données</w:t>
      </w:r>
    </w:p>
    <w:p>
      <w:pPr>
        <w:spacing w:after="120"/>
      </w:pPr>
      <w:r>
        <w:rPr>
          <w:b w:val="0"/>
          <w:i w:val="0"/>
          <w:color w:val="202124"/>
          <w:sz w:val="20"/>
        </w:rPr>
        <w:t>Réalisé intégralement en Python (pandas) via scripts/02_cleaning.py. Log détaillé disponible dans data/02_cleaning_log.md.</w:t>
      </w:r>
    </w:p>
    <w:p>
      <w:pPr>
        <w:spacing w:before="200" w:after="80"/>
      </w:pPr>
      <w:r>
        <w:rPr>
          <w:b/>
          <w:color w:val="202124"/>
          <w:sz w:val="24"/>
        </w:rPr>
        <w:t>3.1  Transformations appliquées</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73E8"/>
          </w:tcPr>
          <w:p>
            <w:pPr>
              <w:jc w:val="center"/>
            </w:pPr>
            <w:r>
              <w:rPr>
                <w:b/>
                <w:color w:val="FFFFFF"/>
                <w:sz w:val="18"/>
              </w:rPr>
              <w:t>Étape</w:t>
            </w:r>
          </w:p>
        </w:tc>
        <w:tc>
          <w:tcPr>
            <w:tcW w:type="dxa" w:w="4535"/>
            <w:shd w:val="clear" w:color="auto" w:fill="1A73E8"/>
          </w:tcPr>
          <w:p>
            <w:pPr>
              <w:jc w:val="center"/>
            </w:pPr>
            <w:r>
              <w:rPr>
                <w:b/>
                <w:color w:val="FFFFFF"/>
                <w:sz w:val="18"/>
              </w:rPr>
              <w:t>Action</w:t>
            </w:r>
          </w:p>
        </w:tc>
        <w:tc>
          <w:tcPr>
            <w:tcW w:type="dxa" w:w="2268"/>
            <w:shd w:val="clear" w:color="auto" w:fill="1A73E8"/>
          </w:tcPr>
          <w:p>
            <w:pPr>
              <w:jc w:val="center"/>
            </w:pPr>
            <w:r>
              <w:rPr>
                <w:b/>
                <w:color w:val="FFFFFF"/>
                <w:sz w:val="18"/>
              </w:rPr>
              <w:t>Impact</w:t>
            </w:r>
          </w:p>
        </w:tc>
      </w:tr>
      <w:tr>
        <w:tc>
          <w:tcPr>
            <w:tcW w:type="dxa" w:w="2268"/>
            <w:shd w:val="clear" w:color="auto" w:fill="F8F9FA"/>
          </w:tcPr>
          <w:p>
            <w:r>
              <w:rPr>
                <w:sz w:val="18"/>
              </w:rPr>
              <w:t>Harmonisation schéma</w:t>
            </w:r>
          </w:p>
        </w:tc>
        <w:tc>
          <w:tcPr>
            <w:tcW w:type="dxa" w:w="4535"/>
            <w:shd w:val="clear" w:color="auto" w:fill="F8F9FA"/>
          </w:tcPr>
          <w:p>
            <w:r>
              <w:rPr>
                <w:sz w:val="18"/>
              </w:rPr>
              <w:t>Renommage colonnes 2019 Q1 + Subscriber→member / Customer→casual</w:t>
            </w:r>
          </w:p>
        </w:tc>
        <w:tc>
          <w:tcPr>
            <w:tcW w:type="dxa" w:w="2268"/>
            <w:shd w:val="clear" w:color="auto" w:fill="F8F9FA"/>
          </w:tcPr>
          <w:p>
            <w:r>
              <w:rPr>
                <w:sz w:val="18"/>
              </w:rPr>
              <w:t>Unification des 11 fichiers</w:t>
            </w:r>
          </w:p>
        </w:tc>
      </w:tr>
      <w:tr>
        <w:tc>
          <w:tcPr>
            <w:tcW w:type="dxa" w:w="2268"/>
          </w:tcPr>
          <w:p>
            <w:r>
              <w:rPr>
                <w:sz w:val="18"/>
              </w:rPr>
              <w:t>Conversion datetime</w:t>
            </w:r>
          </w:p>
        </w:tc>
        <w:tc>
          <w:tcPr>
            <w:tcW w:type="dxa" w:w="4535"/>
          </w:tcPr>
          <w:p>
            <w:r>
              <w:rPr>
                <w:sz w:val="18"/>
              </w:rPr>
              <w:t>started_at et ended_at → datetime64</w:t>
            </w:r>
          </w:p>
        </w:tc>
        <w:tc>
          <w:tcPr>
            <w:tcW w:type="dxa" w:w="2268"/>
          </w:tcPr>
          <w:p>
            <w:r>
              <w:rPr>
                <w:sz w:val="18"/>
              </w:rPr>
              <w:t>Calculs temporels précis</w:t>
            </w:r>
          </w:p>
        </w:tc>
      </w:tr>
      <w:tr>
        <w:tc>
          <w:tcPr>
            <w:tcW w:type="dxa" w:w="2268"/>
            <w:shd w:val="clear" w:color="auto" w:fill="F8F9FA"/>
          </w:tcPr>
          <w:p>
            <w:r>
              <w:rPr>
                <w:sz w:val="18"/>
              </w:rPr>
              <w:t>ride_length</w:t>
            </w:r>
          </w:p>
        </w:tc>
        <w:tc>
          <w:tcPr>
            <w:tcW w:type="dxa" w:w="4535"/>
            <w:shd w:val="clear" w:color="auto" w:fill="F8F9FA"/>
          </w:tcPr>
          <w:p>
            <w:r>
              <w:rPr>
                <w:sz w:val="18"/>
              </w:rPr>
              <w:t>(ended_at − started_at) en minutes</w:t>
            </w:r>
          </w:p>
        </w:tc>
        <w:tc>
          <w:tcPr>
            <w:tcW w:type="dxa" w:w="2268"/>
            <w:shd w:val="clear" w:color="auto" w:fill="F8F9FA"/>
          </w:tcPr>
          <w:p>
            <w:r>
              <w:rPr>
                <w:sz w:val="18"/>
              </w:rPr>
              <w:t>Variable d'analyse principale</w:t>
            </w:r>
          </w:p>
        </w:tc>
      </w:tr>
      <w:tr>
        <w:tc>
          <w:tcPr>
            <w:tcW w:type="dxa" w:w="2268"/>
          </w:tcPr>
          <w:p>
            <w:r>
              <w:rPr>
                <w:sz w:val="18"/>
              </w:rPr>
              <w:t>Variables temporelles</w:t>
            </w:r>
          </w:p>
        </w:tc>
        <w:tc>
          <w:tcPr>
            <w:tcW w:type="dxa" w:w="4535"/>
          </w:tcPr>
          <w:p>
            <w:r>
              <w:rPr>
                <w:sz w:val="18"/>
              </w:rPr>
              <w:t>day_of_week, month, year, season, hour_of_day</w:t>
            </w:r>
          </w:p>
        </w:tc>
        <w:tc>
          <w:tcPr>
            <w:tcW w:type="dxa" w:w="2268"/>
          </w:tcPr>
          <w:p>
            <w:r>
              <w:rPr>
                <w:sz w:val="18"/>
              </w:rPr>
              <w:t>5 nouvelles colonnes</w:t>
            </w:r>
          </w:p>
        </w:tc>
      </w:tr>
      <w:tr>
        <w:tc>
          <w:tcPr>
            <w:tcW w:type="dxa" w:w="2268"/>
            <w:shd w:val="clear" w:color="auto" w:fill="F8F9FA"/>
          </w:tcPr>
          <w:p>
            <w:r>
              <w:rPr>
                <w:sz w:val="18"/>
              </w:rPr>
              <w:t>Doublons</w:t>
            </w:r>
          </w:p>
        </w:tc>
        <w:tc>
          <w:tcPr>
            <w:tcW w:type="dxa" w:w="4535"/>
            <w:shd w:val="clear" w:color="auto" w:fill="F8F9FA"/>
          </w:tcPr>
          <w:p>
            <w:r>
              <w:rPr>
                <w:sz w:val="18"/>
              </w:rPr>
              <w:t>Suppression sur ride_id</w:t>
            </w:r>
          </w:p>
        </w:tc>
        <w:tc>
          <w:tcPr>
            <w:tcW w:type="dxa" w:w="2268"/>
            <w:shd w:val="clear" w:color="auto" w:fill="F8F9FA"/>
          </w:tcPr>
          <w:p>
            <w:r>
              <w:rPr>
                <w:sz w:val="18"/>
              </w:rPr>
              <w:t>Dédoublonnage</w:t>
            </w:r>
          </w:p>
        </w:tc>
      </w:tr>
      <w:tr>
        <w:tc>
          <w:tcPr>
            <w:tcW w:type="dxa" w:w="2268"/>
          </w:tcPr>
          <w:p>
            <w:r>
              <w:rPr>
                <w:sz w:val="18"/>
              </w:rPr>
              <w:t>ride_length ≤ 0 min</w:t>
            </w:r>
          </w:p>
        </w:tc>
        <w:tc>
          <w:tcPr>
            <w:tcW w:type="dxa" w:w="4535"/>
          </w:tcPr>
          <w:p>
            <w:r>
              <w:rPr>
                <w:sz w:val="18"/>
              </w:rPr>
              <w:t>Suppression (erreurs système)</w:t>
            </w:r>
          </w:p>
        </w:tc>
        <w:tc>
          <w:tcPr>
            <w:tcW w:type="dxa" w:w="2268"/>
          </w:tcPr>
          <w:p>
            <w:r>
              <w:rPr>
                <w:sz w:val="18"/>
              </w:rPr>
              <w:t>Données invalides écartées</w:t>
            </w:r>
          </w:p>
        </w:tc>
      </w:tr>
      <w:tr>
        <w:tc>
          <w:tcPr>
            <w:tcW w:type="dxa" w:w="2268"/>
            <w:shd w:val="clear" w:color="auto" w:fill="F8F9FA"/>
          </w:tcPr>
          <w:p>
            <w:r>
              <w:rPr>
                <w:sz w:val="18"/>
              </w:rPr>
              <w:t>ride_length &gt; 1 440 min</w:t>
            </w:r>
          </w:p>
        </w:tc>
        <w:tc>
          <w:tcPr>
            <w:tcW w:type="dxa" w:w="4535"/>
            <w:shd w:val="clear" w:color="auto" w:fill="F8F9FA"/>
          </w:tcPr>
          <w:p>
            <w:r>
              <w:rPr>
                <w:sz w:val="18"/>
              </w:rPr>
              <w:t>Suppression (vélos non retournés &gt; 24h)</w:t>
            </w:r>
          </w:p>
        </w:tc>
        <w:tc>
          <w:tcPr>
            <w:tcW w:type="dxa" w:w="2268"/>
            <w:shd w:val="clear" w:color="auto" w:fill="F8F9FA"/>
          </w:tcPr>
          <w:p>
            <w:r>
              <w:rPr>
                <w:sz w:val="18"/>
              </w:rPr>
              <w:t>Outliers extrêmes écartés</w:t>
            </w:r>
          </w:p>
        </w:tc>
      </w:tr>
      <w:tr>
        <w:tc>
          <w:tcPr>
            <w:tcW w:type="dxa" w:w="2268"/>
          </w:tcPr>
          <w:p>
            <w:r>
              <w:rPr>
                <w:sz w:val="18"/>
              </w:rPr>
              <w:t>Stations maintenance</w:t>
            </w:r>
          </w:p>
        </w:tc>
        <w:tc>
          <w:tcPr>
            <w:tcW w:type="dxa" w:w="4535"/>
          </w:tcPr>
          <w:p>
            <w:r>
              <w:rPr>
                <w:sz w:val="18"/>
              </w:rPr>
              <w:t>Suppression : HQ QR, TEST, DIVVY, Hubbard Bike-checking</w:t>
            </w:r>
          </w:p>
        </w:tc>
        <w:tc>
          <w:tcPr>
            <w:tcW w:type="dxa" w:w="2268"/>
          </w:tcPr>
          <w:p>
            <w:r>
              <w:rPr>
                <w:sz w:val="18"/>
              </w:rPr>
              <w:t>Trajets internes exclus</w:t>
            </w:r>
          </w:p>
        </w:tc>
      </w:tr>
      <w:tr>
        <w:tc>
          <w:tcPr>
            <w:tcW w:type="dxa" w:w="2268"/>
            <w:shd w:val="clear" w:color="auto" w:fill="F8F9FA"/>
          </w:tcPr>
          <w:p>
            <w:r>
              <w:rPr>
                <w:sz w:val="18"/>
              </w:rPr>
              <w:t>Résultat final</w:t>
            </w:r>
          </w:p>
        </w:tc>
        <w:tc>
          <w:tcPr>
            <w:tcW w:type="dxa" w:w="4535"/>
            <w:shd w:val="clear" w:color="auto" w:fill="F8F9FA"/>
          </w:tcPr>
          <w:p>
            <w:r>
              <w:rPr>
                <w:sz w:val="18"/>
              </w:rPr>
              <w:t>3 906 752 → 3 885 439 trajets propres</w:t>
            </w:r>
          </w:p>
        </w:tc>
        <w:tc>
          <w:tcPr>
            <w:tcW w:type="dxa" w:w="2268"/>
            <w:shd w:val="clear" w:color="auto" w:fill="F8F9FA"/>
          </w:tcPr>
          <w:p>
            <w:r>
              <w:rPr>
                <w:sz w:val="18"/>
              </w:rPr>
              <w:t>−21 313 lignes (−0,5 %)</w:t>
            </w:r>
          </w:p>
        </w:tc>
      </w:tr>
    </w:tbl>
    <w:p>
      <w:pPr>
        <w:spacing w:after="80"/>
      </w:pPr>
    </w:p>
    <w:p>
      <w:pPr>
        <w:spacing w:before="200" w:after="80"/>
      </w:pPr>
      <w:r>
        <w:rPr>
          <w:b/>
          <w:color w:val="202124"/>
          <w:sz w:val="24"/>
        </w:rPr>
        <w:t>3.2  Contraintes &amp; limites</w:t>
      </w:r>
    </w:p>
    <w:p>
      <w:pPr>
        <w:pStyle w:val="ListBullet"/>
        <w:spacing w:after="60"/>
        <w:ind w:left="283"/>
      </w:pPr>
      <w:r>
        <w:rPr>
          <w:sz w:val="20"/>
        </w:rPr>
        <w:t>Confidentialité : pas d'identifiant personnel (PII) — impossible de tracer les trajets d'un même utilisateur.</w:t>
      </w:r>
    </w:p>
    <w:p>
      <w:pPr>
        <w:pStyle w:val="ListBullet"/>
        <w:spacing w:after="60"/>
        <w:ind w:left="283"/>
      </w:pPr>
      <w:r>
        <w:rPr>
          <w:sz w:val="20"/>
        </w:rPr>
        <w:t>Données manquantes : 5–15 % de valeurs nulles sur les noms de stations (vélos electric/docked).</w:t>
      </w:r>
    </w:p>
    <w:p>
      <w:pPr>
        <w:pStyle w:val="ListBullet"/>
        <w:spacing w:after="60"/>
        <w:ind w:left="283"/>
      </w:pPr>
      <w:r>
        <w:rPr>
          <w:sz w:val="20"/>
        </w:rPr>
        <w:t>Schéma hétérogène : le fichier 2019 Q1 utilise une structure différente des fichiers 2020.</w:t>
      </w:r>
    </w:p>
    <w:p>
      <w:pPr>
        <w:pStyle w:val="ListBullet"/>
        <w:spacing w:after="60"/>
        <w:ind w:left="283"/>
      </w:pPr>
      <w:r>
        <w:rPr>
          <w:sz w:val="20"/>
        </w:rPr>
        <w:t>Impact COVID-19 : creux d'avril 2020 atypique lié au confinement.</w:t>
      </w:r>
    </w:p>
    <w:p>
      <w:pPr>
        <w:pStyle w:val="ListBullet"/>
        <w:spacing w:after="60"/>
        <w:ind w:left="283"/>
      </w:pPr>
      <w:r>
        <w:rPr>
          <w:sz w:val="20"/>
        </w:rPr>
        <w:t>Données historiques : tendances solides mais une mise à jour 2022–2024 serait recommandée.</w:t>
      </w:r>
    </w:p>
    <w:p>
      <w:r>
        <w:br w:type="page"/>
      </w:r>
    </w:p>
    <w:p>
      <w:pPr>
        <w:spacing w:before="280" w:after="80"/>
        <w:pBdr>
          <w:bottom w:val="single" w:sz="6" w:space="4" w:color="1A73E8"/>
        </w:pBdr>
      </w:pPr>
      <w:r>
        <w:rPr>
          <w:b/>
          <w:color w:val="1A73E8"/>
          <w:sz w:val="32"/>
        </w:rPr>
        <w:t xml:space="preserve">4.  </w:t>
      </w:r>
      <w:r>
        <w:rPr>
          <w:b/>
          <w:color w:val="202124"/>
          <w:sz w:val="32"/>
        </w:rPr>
        <w:t>Analyse &amp; Insights</w:t>
      </w:r>
    </w:p>
    <w:p>
      <w:pPr>
        <w:spacing w:before="200" w:after="80"/>
      </w:pPr>
      <w:r>
        <w:rPr>
          <w:b/>
          <w:color w:val="202124"/>
          <w:sz w:val="24"/>
        </w:rPr>
        <w:t>4.1  Vue d'ensemble : volume et durée</w:t>
      </w:r>
    </w:p>
    <w:p>
      <w:pPr>
        <w:spacing w:after="120"/>
      </w:pPr>
      <w:r>
        <w:rPr>
          <w:b w:val="0"/>
          <w:i w:val="0"/>
          <w:color w:val="202124"/>
          <w:sz w:val="20"/>
        </w:rPr>
        <w:t>Sur 3 885 439 trajets analysés, les membres représentent 64,6 % du volume mais effectuent des déplacements 2,5× plus courts que les casual riders. Cette asymétrie révèle des usages fondamentalement distincts.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1A73E8"/>
          </w:tcPr>
          <w:p>
            <w:pPr>
              <w:jc w:val="center"/>
            </w:pPr>
            <w:r>
              <w:rPr>
                <w:b/>
                <w:color w:val="FFFFFF"/>
                <w:sz w:val="18"/>
              </w:rPr>
              <w:t>Métrique</w:t>
            </w:r>
          </w:p>
        </w:tc>
        <w:tc>
          <w:tcPr>
            <w:tcW w:type="dxa" w:w="1984"/>
            <w:shd w:val="clear" w:color="auto" w:fill="1A73E8"/>
          </w:tcPr>
          <w:p>
            <w:pPr>
              <w:jc w:val="center"/>
            </w:pPr>
            <w:r>
              <w:rPr>
                <w:b/>
                <w:color w:val="FFFFFF"/>
                <w:sz w:val="18"/>
              </w:rPr>
              <w:t>Members</w:t>
            </w:r>
          </w:p>
        </w:tc>
        <w:tc>
          <w:tcPr>
            <w:tcW w:type="dxa" w:w="1984"/>
            <w:shd w:val="clear" w:color="auto" w:fill="1A73E8"/>
          </w:tcPr>
          <w:p>
            <w:pPr>
              <w:jc w:val="center"/>
            </w:pPr>
            <w:r>
              <w:rPr>
                <w:b/>
                <w:color w:val="FFFFFF"/>
                <w:sz w:val="18"/>
              </w:rPr>
              <w:t>Casual riders</w:t>
            </w:r>
          </w:p>
        </w:tc>
        <w:tc>
          <w:tcPr>
            <w:tcW w:type="dxa" w:w="2268"/>
            <w:shd w:val="clear" w:color="auto" w:fill="1A73E8"/>
          </w:tcPr>
          <w:p>
            <w:pPr>
              <w:jc w:val="center"/>
            </w:pPr>
            <w:r>
              <w:rPr>
                <w:b/>
                <w:color w:val="FFFFFF"/>
                <w:sz w:val="18"/>
              </w:rPr>
              <w:t>Ratio</w:t>
            </w:r>
          </w:p>
        </w:tc>
      </w:tr>
      <w:tr>
        <w:tc>
          <w:tcPr>
            <w:tcW w:type="dxa" w:w="2835"/>
            <w:shd w:val="clear" w:color="auto" w:fill="F8F9FA"/>
          </w:tcPr>
          <w:p>
            <w:r>
              <w:rPr>
                <w:sz w:val="18"/>
              </w:rPr>
              <w:t>Nombre de trajets</w:t>
            </w:r>
          </w:p>
        </w:tc>
        <w:tc>
          <w:tcPr>
            <w:tcW w:type="dxa" w:w="1984"/>
            <w:shd w:val="clear" w:color="auto" w:fill="F8F9FA"/>
          </w:tcPr>
          <w:p>
            <w:r>
              <w:rPr>
                <w:sz w:val="18"/>
              </w:rPr>
              <w:t>2 508 757</w:t>
            </w:r>
          </w:p>
        </w:tc>
        <w:tc>
          <w:tcPr>
            <w:tcW w:type="dxa" w:w="1984"/>
            <w:shd w:val="clear" w:color="auto" w:fill="F8F9FA"/>
          </w:tcPr>
          <w:p>
            <w:r>
              <w:rPr>
                <w:sz w:val="18"/>
              </w:rPr>
              <w:t>1 376 682</w:t>
            </w:r>
          </w:p>
        </w:tc>
        <w:tc>
          <w:tcPr>
            <w:tcW w:type="dxa" w:w="2268"/>
            <w:shd w:val="clear" w:color="auto" w:fill="F8F9FA"/>
          </w:tcPr>
          <w:p>
            <w:r>
              <w:rPr>
                <w:sz w:val="18"/>
              </w:rPr>
              <w:t>Members × 1,8</w:t>
            </w:r>
          </w:p>
        </w:tc>
      </w:tr>
      <w:tr>
        <w:tc>
          <w:tcPr>
            <w:tcW w:type="dxa" w:w="2835"/>
          </w:tcPr>
          <w:p>
            <w:r>
              <w:rPr>
                <w:sz w:val="18"/>
              </w:rPr>
              <w:t>Part du total</w:t>
            </w:r>
          </w:p>
        </w:tc>
        <w:tc>
          <w:tcPr>
            <w:tcW w:type="dxa" w:w="1984"/>
          </w:tcPr>
          <w:p>
            <w:r>
              <w:rPr>
                <w:sz w:val="18"/>
              </w:rPr>
              <w:t>64,6 %</w:t>
            </w:r>
          </w:p>
        </w:tc>
        <w:tc>
          <w:tcPr>
            <w:tcW w:type="dxa" w:w="1984"/>
          </w:tcPr>
          <w:p>
            <w:r>
              <w:rPr>
                <w:sz w:val="18"/>
              </w:rPr>
              <w:t>35,4 %</w:t>
            </w:r>
          </w:p>
        </w:tc>
        <w:tc>
          <w:tcPr>
            <w:tcW w:type="dxa" w:w="2268"/>
          </w:tcPr>
          <w:p>
            <w:r>
              <w:rPr>
                <w:sz w:val="18"/>
              </w:rPr>
              <w:t>—</w:t>
            </w:r>
          </w:p>
        </w:tc>
      </w:tr>
      <w:tr>
        <w:tc>
          <w:tcPr>
            <w:tcW w:type="dxa" w:w="2835"/>
            <w:shd w:val="clear" w:color="auto" w:fill="F8F9FA"/>
          </w:tcPr>
          <w:p>
            <w:r>
              <w:rPr>
                <w:sz w:val="18"/>
              </w:rPr>
              <w:t>Durée moyenne</w:t>
            </w:r>
          </w:p>
        </w:tc>
        <w:tc>
          <w:tcPr>
            <w:tcW w:type="dxa" w:w="1984"/>
            <w:shd w:val="clear" w:color="auto" w:fill="F8F9FA"/>
          </w:tcPr>
          <w:p>
            <w:r>
              <w:rPr>
                <w:sz w:val="18"/>
              </w:rPr>
              <w:t>14,6 min</w:t>
            </w:r>
          </w:p>
        </w:tc>
        <w:tc>
          <w:tcPr>
            <w:tcW w:type="dxa" w:w="1984"/>
            <w:shd w:val="clear" w:color="auto" w:fill="F8F9FA"/>
          </w:tcPr>
          <w:p>
            <w:r>
              <w:rPr>
                <w:sz w:val="18"/>
              </w:rPr>
              <w:t>37,1 min</w:t>
            </w:r>
          </w:p>
        </w:tc>
        <w:tc>
          <w:tcPr>
            <w:tcW w:type="dxa" w:w="2268"/>
            <w:shd w:val="clear" w:color="auto" w:fill="F8F9FA"/>
          </w:tcPr>
          <w:p>
            <w:r>
              <w:rPr>
                <w:sz w:val="18"/>
              </w:rPr>
              <w:t>Casual × 2,5</w:t>
            </w:r>
          </w:p>
        </w:tc>
      </w:tr>
      <w:tr>
        <w:tc>
          <w:tcPr>
            <w:tcW w:type="dxa" w:w="2835"/>
          </w:tcPr>
          <w:p>
            <w:r>
              <w:rPr>
                <w:sz w:val="18"/>
              </w:rPr>
              <w:t>Durée médiane</w:t>
            </w:r>
          </w:p>
        </w:tc>
        <w:tc>
          <w:tcPr>
            <w:tcW w:type="dxa" w:w="1984"/>
          </w:tcPr>
          <w:p>
            <w:r>
              <w:rPr>
                <w:sz w:val="18"/>
              </w:rPr>
              <w:t>10,6 min</w:t>
            </w:r>
          </w:p>
        </w:tc>
        <w:tc>
          <w:tcPr>
            <w:tcW w:type="dxa" w:w="1984"/>
          </w:tcPr>
          <w:p>
            <w:r>
              <w:rPr>
                <w:sz w:val="18"/>
              </w:rPr>
              <w:t>21,7 min</w:t>
            </w:r>
          </w:p>
        </w:tc>
        <w:tc>
          <w:tcPr>
            <w:tcW w:type="dxa" w:w="2268"/>
          </w:tcPr>
          <w:p>
            <w:r>
              <w:rPr>
                <w:sz w:val="18"/>
              </w:rPr>
              <w:t>Casual × 2,0</w:t>
            </w:r>
          </w:p>
        </w:tc>
      </w:tr>
      <w:tr>
        <w:tc>
          <w:tcPr>
            <w:tcW w:type="dxa" w:w="2835"/>
            <w:shd w:val="clear" w:color="auto" w:fill="F8F9FA"/>
          </w:tcPr>
          <w:p>
            <w:r>
              <w:rPr>
                <w:sz w:val="18"/>
              </w:rPr>
              <w:t>Jour de pointe</w:t>
            </w:r>
          </w:p>
        </w:tc>
        <w:tc>
          <w:tcPr>
            <w:tcW w:type="dxa" w:w="1984"/>
            <w:shd w:val="clear" w:color="auto" w:fill="F8F9FA"/>
          </w:tcPr>
          <w:p>
            <w:r>
              <w:rPr>
                <w:sz w:val="18"/>
              </w:rPr>
              <w:t>Jeudi</w:t>
            </w:r>
          </w:p>
        </w:tc>
        <w:tc>
          <w:tcPr>
            <w:tcW w:type="dxa" w:w="1984"/>
            <w:shd w:val="clear" w:color="auto" w:fill="F8F9FA"/>
          </w:tcPr>
          <w:p>
            <w:r>
              <w:rPr>
                <w:sz w:val="18"/>
              </w:rPr>
              <w:t>Samedi</w:t>
            </w:r>
          </w:p>
        </w:tc>
        <w:tc>
          <w:tcPr>
            <w:tcW w:type="dxa" w:w="2268"/>
            <w:shd w:val="clear" w:color="auto" w:fill="F8F9FA"/>
          </w:tcPr>
          <w:p>
            <w:r>
              <w:rPr>
                <w:sz w:val="18"/>
              </w:rPr>
              <w:t>—</w:t>
            </w:r>
          </w:p>
        </w:tc>
      </w:tr>
      <w:tr>
        <w:tc>
          <w:tcPr>
            <w:tcW w:type="dxa" w:w="2835"/>
          </w:tcPr>
          <w:p>
            <w:r>
              <w:rPr>
                <w:sz w:val="18"/>
              </w:rPr>
              <w:t>Usage principal</w:t>
            </w:r>
          </w:p>
        </w:tc>
        <w:tc>
          <w:tcPr>
            <w:tcW w:type="dxa" w:w="1984"/>
          </w:tcPr>
          <w:p>
            <w:r>
              <w:rPr>
                <w:sz w:val="18"/>
              </w:rPr>
              <w:t>Domicile ↔ Travail</w:t>
            </w:r>
          </w:p>
        </w:tc>
        <w:tc>
          <w:tcPr>
            <w:tcW w:type="dxa" w:w="1984"/>
          </w:tcPr>
          <w:p>
            <w:r>
              <w:rPr>
                <w:sz w:val="18"/>
              </w:rPr>
              <w:t>Loisirs / Tourisme</w:t>
            </w:r>
          </w:p>
        </w:tc>
        <w:tc>
          <w:tcPr>
            <w:tcW w:type="dxa" w:w="2268"/>
          </w:tcPr>
          <w:p>
            <w:r>
              <w:rPr>
                <w:sz w:val="18"/>
              </w:rPr>
              <w:t>—</w:t>
            </w:r>
          </w:p>
        </w:tc>
      </w:tr>
    </w:tbl>
    <w:p>
      <w:pPr>
        <w:spacing w:after="80"/>
      </w:pPr>
    </w:p>
    <w:tbl>
      <w:tblPr>
        <w:tblW w:type="auto" w:w="0"/>
        <w:jc w:val="center"/>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700000" cy="1909305"/>
                  <wp:docPr id="2" name="Picture 2"/>
                  <wp:cNvGraphicFramePr>
                    <a:graphicFrameLocks noChangeAspect="1"/>
                  </wp:cNvGraphicFramePr>
                  <a:graphic>
                    <a:graphicData uri="http://schemas.openxmlformats.org/drawingml/2006/picture">
                      <pic:pic>
                        <pic:nvPicPr>
                          <pic:cNvPr id="0" name="01_rides_count.png"/>
                          <pic:cNvPicPr/>
                        </pic:nvPicPr>
                        <pic:blipFill>
                          <a:blip r:embed="rId12"/>
                          <a:stretch>
                            <a:fillRect/>
                          </a:stretch>
                        </pic:blipFill>
                        <pic:spPr>
                          <a:xfrm>
                            <a:off x="0" y="0"/>
                            <a:ext cx="2700000" cy="1909305"/>
                          </a:xfrm>
                          <a:prstGeom prst="rect"/>
                        </pic:spPr>
                      </pic:pic>
                    </a:graphicData>
                  </a:graphic>
                </wp:inline>
              </w:drawing>
            </w:r>
          </w:p>
          <w:p>
            <w:pPr>
              <w:jc w:val="center"/>
            </w:pPr>
            <w:r>
              <w:rPr>
                <w:i/>
                <w:color w:val="5F6368"/>
                <w:sz w:val="16"/>
              </w:rPr>
              <w:t>Fig. 1 — Nombre total de trajets  (01_rides_count.png)</w:t>
            </w:r>
          </w:p>
        </w:tc>
        <w:tc>
          <w:tcPr>
            <w:tcW w:type="dxa" w:w="4703"/>
          </w:tcPr>
          <w:p>
            <w:pPr>
              <w:jc w:val="center"/>
            </w:pPr>
            <w:r>
              <w:drawing>
                <wp:inline xmlns:a="http://schemas.openxmlformats.org/drawingml/2006/main" xmlns:pic="http://schemas.openxmlformats.org/drawingml/2006/picture">
                  <wp:extent cx="2700000" cy="1906660"/>
                  <wp:docPr id="3" name="Picture 3"/>
                  <wp:cNvGraphicFramePr>
                    <a:graphicFrameLocks noChangeAspect="1"/>
                  </wp:cNvGraphicFramePr>
                  <a:graphic>
                    <a:graphicData uri="http://schemas.openxmlformats.org/drawingml/2006/picture">
                      <pic:pic>
                        <pic:nvPicPr>
                          <pic:cNvPr id="0" name="02_avg_ride_length.png"/>
                          <pic:cNvPicPr/>
                        </pic:nvPicPr>
                        <pic:blipFill>
                          <a:blip r:embed="rId13"/>
                          <a:stretch>
                            <a:fillRect/>
                          </a:stretch>
                        </pic:blipFill>
                        <pic:spPr>
                          <a:xfrm>
                            <a:off x="0" y="0"/>
                            <a:ext cx="2700000" cy="1906660"/>
                          </a:xfrm>
                          <a:prstGeom prst="rect"/>
                        </pic:spPr>
                      </pic:pic>
                    </a:graphicData>
                  </a:graphic>
                </wp:inline>
              </w:drawing>
            </w:r>
          </w:p>
          <w:p>
            <w:pPr>
              <w:jc w:val="center"/>
            </w:pPr>
            <w:r>
              <w:rPr>
                <w:i/>
                <w:color w:val="5F6368"/>
                <w:sz w:val="16"/>
              </w:rPr>
              <w:t>Fig. 2 — Durée moyenne (minutes)  (02_avg_ride_length.png)</w:t>
            </w:r>
          </w:p>
        </w:tc>
      </w:tr>
    </w:tbl>
    <w:p/>
    <w:tbl>
      <w:tblPr>
        <w:tblW w:type="auto" w:w="0"/>
        <w:jc w:val="center"/>
        <w:tblLook w:firstColumn="1" w:firstRow="1" w:lastColumn="0" w:lastRow="0" w:noHBand="0" w:noVBand="1" w:val="04A0"/>
      </w:tblPr>
      <w:tblGrid>
        <w:gridCol w:w="9406"/>
      </w:tblGrid>
      <w:tr>
        <w:tc>
          <w:tcPr>
            <w:tcW w:type="dxa" w:w="9406"/>
            <w:shd w:val="clear" w:color="auto" w:fill="E8F0FE"/>
          </w:tcPr>
          <w:p>
            <w:r>
              <w:rPr>
                <w:b/>
                <w:color w:val="1A73E8"/>
                <w:sz w:val="18"/>
              </w:rPr>
              <w:t xml:space="preserve">  Insight clé</w:t>
            </w:r>
          </w:p>
          <w:p>
            <w:pPr>
              <w:spacing w:after="80"/>
            </w:pPr>
            <w:r>
              <w:rPr>
                <w:i/>
                <w:color w:val="202124"/>
                <w:sz w:val="20"/>
              </w:rPr>
              <w:t xml:space="preserve">  Les casual riders effectuent 2,5× plus de minutes de vélo par trajet que les membres. Ce n'est pas un usage utilitaire — c'est un comportement récréatif ou touristique structurel.</w:t>
            </w:r>
          </w:p>
        </w:tc>
      </w:tr>
    </w:tbl>
    <w:p>
      <w:pPr>
        <w:spacing w:after="120"/>
      </w:pPr>
    </w:p>
    <w:p>
      <w:r>
        <w:br w:type="page"/>
      </w:r>
    </w:p>
    <w:p>
      <w:pPr>
        <w:spacing w:before="200" w:after="80"/>
      </w:pPr>
      <w:r>
        <w:rPr>
          <w:b/>
          <w:color w:val="202124"/>
          <w:sz w:val="24"/>
        </w:rPr>
        <w:t>4.2  Comportement temporel</w:t>
      </w:r>
    </w:p>
    <w:p>
      <w:pPr>
        <w:spacing w:after="120"/>
      </w:pPr>
      <w:r>
        <w:rPr>
          <w:b w:val="0"/>
          <w:i w:val="0"/>
          <w:color w:val="202124"/>
          <w:sz w:val="20"/>
        </w:rPr>
        <w:t>L'analyse temporelle révèle la différence structurelle la plus significative : les membres ont un usage utilitaire rythmé par la semaine de travail, les casual riders un usage récréatif concentré sur le week-end et les heures de l'après-midi.</w:t>
      </w:r>
    </w:p>
    <w:p>
      <w:pPr>
        <w:spacing w:after="40"/>
      </w:pPr>
      <w:r>
        <w:rPr>
          <w:b w:val="0"/>
          <w:i w:val="0"/>
          <w:color w:val="202124"/>
          <w:sz w:val="20"/>
        </w:rPr>
        <w:t>Par jour de la semaine :</w:t>
      </w:r>
    </w:p>
    <w:p>
      <w:pPr>
        <w:pStyle w:val="ListBullet"/>
        <w:spacing w:after="60"/>
        <w:ind w:left="283"/>
      </w:pPr>
      <w:r>
        <w:rPr>
          <w:sz w:val="20"/>
        </w:rPr>
        <w:t>Members : pic le jeudi (~391k trajets), volume stable lundi–vendredi → usage domicile-travail.</w:t>
      </w:r>
    </w:p>
    <w:p>
      <w:pPr>
        <w:pStyle w:val="ListBullet"/>
        <w:spacing w:after="60"/>
        <w:ind w:left="283"/>
      </w:pPr>
      <w:r>
        <w:rPr>
          <w:sz w:val="20"/>
        </w:rPr>
        <w:t>Casual : pic le samedi (~318k trajets), profil en cloche autour du week-end → usage loisir.</w:t>
      </w:r>
    </w:p>
    <w:p>
      <w:pPr>
        <w:jc w:val="center"/>
      </w:pPr>
      <w:r>
        <w:drawing>
          <wp:inline xmlns:a="http://schemas.openxmlformats.org/drawingml/2006/main" xmlns:pic="http://schemas.openxmlformats.org/drawingml/2006/picture">
            <wp:extent cx="5040000" cy="2980829"/>
            <wp:docPr id="4" name="Picture 4"/>
            <wp:cNvGraphicFramePr>
              <a:graphicFrameLocks noChangeAspect="1"/>
            </wp:cNvGraphicFramePr>
            <a:graphic>
              <a:graphicData uri="http://schemas.openxmlformats.org/drawingml/2006/picture">
                <pic:pic>
                  <pic:nvPicPr>
                    <pic:cNvPr id="0" name="03_rides_by_dow.png"/>
                    <pic:cNvPicPr/>
                  </pic:nvPicPr>
                  <pic:blipFill>
                    <a:blip r:embed="rId14"/>
                    <a:stretch>
                      <a:fillRect/>
                    </a:stretch>
                  </pic:blipFill>
                  <pic:spPr>
                    <a:xfrm>
                      <a:off x="0" y="0"/>
                      <a:ext cx="5040000" cy="2980829"/>
                    </a:xfrm>
                    <a:prstGeom prst="rect"/>
                  </pic:spPr>
                </pic:pic>
              </a:graphicData>
            </a:graphic>
          </wp:inline>
        </w:drawing>
      </w:r>
    </w:p>
    <w:p>
      <w:pPr>
        <w:spacing w:after="200"/>
        <w:jc w:val="center"/>
      </w:pPr>
      <w:r>
        <w:rPr>
          <w:i/>
          <w:color w:val="5F6368"/>
          <w:sz w:val="17"/>
        </w:rPr>
        <w:t>Fig. 3 — Trajets par jour de la semaine (membres vs casual)  (03_rides_by_dow.png)</w:t>
      </w:r>
    </w:p>
    <w:p>
      <w:pPr>
        <w:spacing w:after="40"/>
      </w:pPr>
      <w:r>
        <w:rPr>
          <w:b w:val="0"/>
          <w:i w:val="0"/>
          <w:color w:val="202124"/>
          <w:sz w:val="20"/>
        </w:rPr>
        <w:t>Par mois et saison :</w:t>
      </w:r>
    </w:p>
    <w:p>
      <w:pPr>
        <w:pStyle w:val="ListBullet"/>
        <w:spacing w:after="60"/>
        <w:ind w:left="283"/>
      </w:pPr>
      <w:r>
        <w:rPr>
          <w:sz w:val="20"/>
        </w:rPr>
        <w:t>Pic estival commun (juin–août), bien plus prononcé chez les casual.</w:t>
      </w:r>
    </w:p>
    <w:p>
      <w:pPr>
        <w:pStyle w:val="ListBullet"/>
        <w:spacing w:after="60"/>
        <w:ind w:left="283"/>
      </w:pPr>
      <w:r>
        <w:rPr>
          <w:sz w:val="20"/>
        </w:rPr>
        <w:t>Casual hyper-saisonniers : 51,5 % de leurs trajets annuels en été vs 32 % pour les membres.</w:t>
      </w:r>
    </w:p>
    <w:p>
      <w:pPr>
        <w:pStyle w:val="ListBullet"/>
        <w:spacing w:after="60"/>
        <w:ind w:left="283"/>
      </w:pPr>
      <w:r>
        <w:rPr>
          <w:sz w:val="20"/>
        </w:rPr>
        <w:t>Hiver : membres actifs (556k) vs casual quasi-absents (57k).</w:t>
      </w:r>
    </w:p>
    <w:p>
      <w:pPr>
        <w:pStyle w:val="ListBullet"/>
        <w:spacing w:after="60"/>
        <w:ind w:left="283"/>
      </w:pPr>
      <w:r>
        <w:rPr>
          <w:sz w:val="20"/>
        </w:rPr>
        <w:t>Creux d'avril 2020 visible pour les deux types (confinement COVID-19).</w:t>
      </w:r>
    </w:p>
    <w:p>
      <w:pPr>
        <w:jc w:val="center"/>
      </w:pPr>
      <w:r>
        <w:drawing>
          <wp:inline xmlns:a="http://schemas.openxmlformats.org/drawingml/2006/main" xmlns:pic="http://schemas.openxmlformats.org/drawingml/2006/picture">
            <wp:extent cx="5400000" cy="2273684"/>
            <wp:docPr id="5" name="Picture 5"/>
            <wp:cNvGraphicFramePr>
              <a:graphicFrameLocks noChangeAspect="1"/>
            </wp:cNvGraphicFramePr>
            <a:graphic>
              <a:graphicData uri="http://schemas.openxmlformats.org/drawingml/2006/picture">
                <pic:pic>
                  <pic:nvPicPr>
                    <pic:cNvPr id="0" name="04_rides_by_month.png"/>
                    <pic:cNvPicPr/>
                  </pic:nvPicPr>
                  <pic:blipFill>
                    <a:blip r:embed="rId15"/>
                    <a:stretch>
                      <a:fillRect/>
                    </a:stretch>
                  </pic:blipFill>
                  <pic:spPr>
                    <a:xfrm>
                      <a:off x="0" y="0"/>
                      <a:ext cx="5400000" cy="2273684"/>
                    </a:xfrm>
                    <a:prstGeom prst="rect"/>
                  </pic:spPr>
                </pic:pic>
              </a:graphicData>
            </a:graphic>
          </wp:inline>
        </w:drawing>
      </w:r>
    </w:p>
    <w:p>
      <w:pPr>
        <w:spacing w:after="200"/>
        <w:jc w:val="center"/>
      </w:pPr>
      <w:r>
        <w:rPr>
          <w:i/>
          <w:color w:val="5F6368"/>
          <w:sz w:val="17"/>
        </w:rPr>
        <w:t>Fig. 4 — Évolution mensuelle des trajets (Janv. 2019 – Déc. 2020)  (04_rides_by_month.png)</w:t>
      </w:r>
    </w:p>
    <w:p>
      <w:r>
        <w:br w:type="page"/>
      </w:r>
    </w:p>
    <w:p>
      <w:pPr>
        <w:spacing w:after="40"/>
      </w:pPr>
      <w:r>
        <w:rPr>
          <w:b w:val="0"/>
          <w:i w:val="0"/>
          <w:color w:val="202124"/>
          <w:sz w:val="20"/>
        </w:rPr>
        <w:t>Par heure de départ :</w:t>
      </w:r>
    </w:p>
    <w:p>
      <w:pPr>
        <w:pStyle w:val="ListBullet"/>
        <w:spacing w:after="60"/>
        <w:ind w:left="283"/>
      </w:pPr>
      <w:r>
        <w:rPr>
          <w:sz w:val="20"/>
        </w:rPr>
        <w:t>Members : double pic à 8h et 17h → trajets domicile-travail confirmés.</w:t>
      </w:r>
    </w:p>
    <w:p>
      <w:pPr>
        <w:pStyle w:val="ListBullet"/>
        <w:spacing w:after="60"/>
        <w:ind w:left="283"/>
      </w:pPr>
      <w:r>
        <w:rPr>
          <w:sz w:val="20"/>
        </w:rPr>
        <w:t>Casual : montée progressive dès 10h, pic unique à 15–17h → loisir, pas d'urgence horaire.</w:t>
      </w:r>
    </w:p>
    <w:p>
      <w:pPr>
        <w:jc w:val="center"/>
      </w:pPr>
      <w:r>
        <w:drawing>
          <wp:inline xmlns:a="http://schemas.openxmlformats.org/drawingml/2006/main" xmlns:pic="http://schemas.openxmlformats.org/drawingml/2006/picture">
            <wp:extent cx="5040000" cy="2043320"/>
            <wp:docPr id="6" name="Picture 6"/>
            <wp:cNvGraphicFramePr>
              <a:graphicFrameLocks noChangeAspect="1"/>
            </wp:cNvGraphicFramePr>
            <a:graphic>
              <a:graphicData uri="http://schemas.openxmlformats.org/drawingml/2006/picture">
                <pic:pic>
                  <pic:nvPicPr>
                    <pic:cNvPr id="0" name="07_rides_by_hour.png"/>
                    <pic:cNvPicPr/>
                  </pic:nvPicPr>
                  <pic:blipFill>
                    <a:blip r:embed="rId16"/>
                    <a:stretch>
                      <a:fillRect/>
                    </a:stretch>
                  </pic:blipFill>
                  <pic:spPr>
                    <a:xfrm>
                      <a:off x="0" y="0"/>
                      <a:ext cx="5040000" cy="2043320"/>
                    </a:xfrm>
                    <a:prstGeom prst="rect"/>
                  </pic:spPr>
                </pic:pic>
              </a:graphicData>
            </a:graphic>
          </wp:inline>
        </w:drawing>
      </w:r>
    </w:p>
    <w:p>
      <w:pPr>
        <w:spacing w:after="200"/>
        <w:jc w:val="center"/>
      </w:pPr>
      <w:r>
        <w:rPr>
          <w:i/>
          <w:color w:val="5F6368"/>
          <w:sz w:val="17"/>
        </w:rPr>
        <w:t>Fig. 5 — Répartition des trajets par heure de départ  (07_rides_by_hour.png)</w:t>
      </w:r>
    </w:p>
    <w:p>
      <w:pPr>
        <w:spacing w:after="40"/>
      </w:pPr>
      <w:r>
        <w:rPr>
          <w:b w:val="0"/>
          <w:i w:val="0"/>
          <w:color w:val="202124"/>
          <w:sz w:val="20"/>
        </w:rPr>
        <w:t>Durée par jour de la semaine :</w:t>
      </w:r>
    </w:p>
    <w:p>
      <w:pPr>
        <w:spacing w:after="120"/>
      </w:pPr>
      <w:r>
        <w:rPr>
          <w:b w:val="0"/>
          <w:i w:val="0"/>
          <w:color w:val="202124"/>
          <w:sz w:val="20"/>
        </w:rPr>
        <w:t>Les casual maintiennent des trajets longs toute la semaine (&gt;25 min même en semaine), ce qui exclut une explication liée uniquement au week-end.</w:t>
      </w:r>
    </w:p>
    <w:p>
      <w:pPr>
        <w:jc w:val="center"/>
      </w:pPr>
      <w:r>
        <w:drawing>
          <wp:inline xmlns:a="http://schemas.openxmlformats.org/drawingml/2006/main" xmlns:pic="http://schemas.openxmlformats.org/drawingml/2006/picture">
            <wp:extent cx="5040000" cy="2977403"/>
            <wp:docPr id="7" name="Picture 7"/>
            <wp:cNvGraphicFramePr>
              <a:graphicFrameLocks noChangeAspect="1"/>
            </wp:cNvGraphicFramePr>
            <a:graphic>
              <a:graphicData uri="http://schemas.openxmlformats.org/drawingml/2006/picture">
                <pic:pic>
                  <pic:nvPicPr>
                    <pic:cNvPr id="0" name="08_avg_length_by_dow.png"/>
                    <pic:cNvPicPr/>
                  </pic:nvPicPr>
                  <pic:blipFill>
                    <a:blip r:embed="rId17"/>
                    <a:stretch>
                      <a:fillRect/>
                    </a:stretch>
                  </pic:blipFill>
                  <pic:spPr>
                    <a:xfrm>
                      <a:off x="0" y="0"/>
                      <a:ext cx="5040000" cy="2977403"/>
                    </a:xfrm>
                    <a:prstGeom prst="rect"/>
                  </pic:spPr>
                </pic:pic>
              </a:graphicData>
            </a:graphic>
          </wp:inline>
        </w:drawing>
      </w:r>
    </w:p>
    <w:p>
      <w:pPr>
        <w:spacing w:after="200"/>
        <w:jc w:val="center"/>
      </w:pPr>
      <w:r>
        <w:rPr>
          <w:i/>
          <w:color w:val="5F6368"/>
          <w:sz w:val="17"/>
        </w:rPr>
        <w:t>Fig. 6 — Durée moyenne des trajets par jour de la semaine  (08_avg_length_by_dow.png)</w:t>
      </w:r>
    </w:p>
    <w:tbl>
      <w:tblPr>
        <w:tblW w:type="auto" w:w="0"/>
        <w:jc w:val="center"/>
        <w:tblLook w:firstColumn="1" w:firstRow="1" w:lastColumn="0" w:lastRow="0" w:noHBand="0" w:noVBand="1" w:val="04A0"/>
      </w:tblPr>
      <w:tblGrid>
        <w:gridCol w:w="9406"/>
      </w:tblGrid>
      <w:tr>
        <w:tc>
          <w:tcPr>
            <w:tcW w:type="dxa" w:w="9406"/>
            <w:shd w:val="clear" w:color="auto" w:fill="E8F0FE"/>
          </w:tcPr>
          <w:p>
            <w:r>
              <w:rPr>
                <w:b/>
                <w:color w:val="1A73E8"/>
                <w:sz w:val="18"/>
              </w:rPr>
              <w:t xml:space="preserve">  Insight clé</w:t>
            </w:r>
          </w:p>
          <w:p>
            <w:pPr>
              <w:spacing w:after="80"/>
            </w:pPr>
            <w:r>
              <w:rPr>
                <w:i/>
                <w:color w:val="202124"/>
                <w:sz w:val="20"/>
              </w:rPr>
              <w:t xml:space="preserve">  Trois signaux temporels convergent — week-end, après-midi (15–17h), été (juin–août). Ce sont les trois fenêtres d'intervention marketing prioritaires pour cibler les casual riders.</w:t>
            </w:r>
          </w:p>
        </w:tc>
      </w:tr>
    </w:tbl>
    <w:p>
      <w:pPr>
        <w:spacing w:after="120"/>
      </w:pPr>
    </w:p>
    <w:p>
      <w:pPr>
        <w:spacing w:before="200" w:after="80"/>
      </w:pPr>
      <w:r>
        <w:rPr>
          <w:b/>
          <w:color w:val="202124"/>
          <w:sz w:val="24"/>
        </w:rPr>
        <w:t>4.3  Types de vélos utilisés</w:t>
      </w:r>
    </w:p>
    <w:p>
      <w:pPr>
        <w:spacing w:after="120"/>
      </w:pPr>
      <w:r>
        <w:rPr>
          <w:b w:val="0"/>
          <w:i w:val="0"/>
          <w:color w:val="202124"/>
          <w:sz w:val="20"/>
        </w:rPr>
        <w:t>Les docked bikes dominent pour les deux types (&gt;83 %). Les casual riders utilisent proportionnellement plus d'electric bikes (15,2 % vs 11,8 % pour les membres), ce qui peut indiquer une sensibilité à l'effort ou un usage sur de plus longues distances touristiques.</w:t>
      </w:r>
    </w:p>
    <w:p>
      <w:pPr>
        <w:jc w:val="center"/>
      </w:pPr>
      <w:r>
        <w:drawing>
          <wp:inline xmlns:a="http://schemas.openxmlformats.org/drawingml/2006/main" xmlns:pic="http://schemas.openxmlformats.org/drawingml/2006/picture">
            <wp:extent cx="5040000" cy="2579394"/>
            <wp:docPr id="8" name="Picture 8"/>
            <wp:cNvGraphicFramePr>
              <a:graphicFrameLocks noChangeAspect="1"/>
            </wp:cNvGraphicFramePr>
            <a:graphic>
              <a:graphicData uri="http://schemas.openxmlformats.org/drawingml/2006/picture">
                <pic:pic>
                  <pic:nvPicPr>
                    <pic:cNvPr id="0" name="05_bike_types.png"/>
                    <pic:cNvPicPr/>
                  </pic:nvPicPr>
                  <pic:blipFill>
                    <a:blip r:embed="rId18"/>
                    <a:stretch>
                      <a:fillRect/>
                    </a:stretch>
                  </pic:blipFill>
                  <pic:spPr>
                    <a:xfrm>
                      <a:off x="0" y="0"/>
                      <a:ext cx="5040000" cy="2579394"/>
                    </a:xfrm>
                    <a:prstGeom prst="rect"/>
                  </pic:spPr>
                </pic:pic>
              </a:graphicData>
            </a:graphic>
          </wp:inline>
        </w:drawing>
      </w:r>
    </w:p>
    <w:p>
      <w:pPr>
        <w:spacing w:after="200"/>
        <w:jc w:val="center"/>
      </w:pPr>
      <w:r>
        <w:rPr>
          <w:i/>
          <w:color w:val="5F6368"/>
          <w:sz w:val="17"/>
        </w:rPr>
        <w:t>Fig. 7 — Types de vélos utilisés — % par catégorie d'utilisateur  (05_bike_types.png)</w:t>
      </w:r>
    </w:p>
    <w:tbl>
      <w:tblPr>
        <w:tblW w:type="auto" w:w="0"/>
        <w:jc w:val="center"/>
        <w:tblLook w:firstColumn="1" w:firstRow="1" w:lastColumn="0" w:lastRow="0" w:noHBand="0" w:noVBand="1" w:val="04A0"/>
      </w:tblPr>
      <w:tblGrid>
        <w:gridCol w:w="9406"/>
      </w:tblGrid>
      <w:tr>
        <w:tc>
          <w:tcPr>
            <w:tcW w:type="dxa" w:w="9406"/>
            <w:shd w:val="clear" w:color="auto" w:fill="E8F0FE"/>
          </w:tcPr>
          <w:p>
            <w:r>
              <w:rPr>
                <w:b/>
                <w:color w:val="1A73E8"/>
                <w:sz w:val="18"/>
              </w:rPr>
              <w:t xml:space="preserve">  Insight clé</w:t>
            </w:r>
          </w:p>
          <w:p>
            <w:pPr>
              <w:spacing w:after="80"/>
            </w:pPr>
            <w:r>
              <w:rPr>
                <w:i/>
                <w:color w:val="202124"/>
                <w:sz w:val="20"/>
              </w:rPr>
              <w:t xml:space="preserve">  La préférence casual pour l'electric bike (15,2 %) ouvre une piste de communication sur le confort et la polyvalence — particulièrement pertinente pour les navetteurs potentiels.</w:t>
            </w:r>
          </w:p>
        </w:tc>
      </w:tr>
    </w:tbl>
    <w:p>
      <w:pPr>
        <w:spacing w:after="120"/>
      </w:pPr>
    </w:p>
    <w:p>
      <w:pPr>
        <w:spacing w:before="200" w:after="80"/>
      </w:pPr>
      <w:r>
        <w:rPr>
          <w:b/>
          <w:color w:val="202124"/>
          <w:sz w:val="24"/>
        </w:rPr>
        <w:t>4.4  Stations de départ — Casual riders</w:t>
      </w:r>
    </w:p>
    <w:p>
      <w:pPr>
        <w:spacing w:after="120"/>
      </w:pPr>
      <w:r>
        <w:rPr>
          <w:b w:val="0"/>
          <w:i w:val="0"/>
          <w:color w:val="202124"/>
          <w:sz w:val="20"/>
        </w:rPr>
        <w:t>Les 10 stations les plus fréquentées par les casual riders sont toutes situées dans des zones touristiques et de loisirs : Lakefront Trail, Navy Pier, Millennium Park, Shedd Aquarium. Cette concentration géographique rend un ciblage marketing géolocalisé très précis possible.</w:t>
      </w:r>
    </w:p>
    <w:p>
      <w:pPr>
        <w:jc w:val="center"/>
      </w:pPr>
      <w:r>
        <w:drawing>
          <wp:inline xmlns:a="http://schemas.openxmlformats.org/drawingml/2006/main" xmlns:pic="http://schemas.openxmlformats.org/drawingml/2006/picture">
            <wp:extent cx="5040000" cy="3478454"/>
            <wp:docPr id="9" name="Picture 9"/>
            <wp:cNvGraphicFramePr>
              <a:graphicFrameLocks noChangeAspect="1"/>
            </wp:cNvGraphicFramePr>
            <a:graphic>
              <a:graphicData uri="http://schemas.openxmlformats.org/drawingml/2006/picture">
                <pic:pic>
                  <pic:nvPicPr>
                    <pic:cNvPr id="0" name="06_top10_stations.png"/>
                    <pic:cNvPicPr/>
                  </pic:nvPicPr>
                  <pic:blipFill>
                    <a:blip r:embed="rId19"/>
                    <a:stretch>
                      <a:fillRect/>
                    </a:stretch>
                  </pic:blipFill>
                  <pic:spPr>
                    <a:xfrm>
                      <a:off x="0" y="0"/>
                      <a:ext cx="5040000" cy="3478454"/>
                    </a:xfrm>
                    <a:prstGeom prst="rect"/>
                  </pic:spPr>
                </pic:pic>
              </a:graphicData>
            </a:graphic>
          </wp:inline>
        </w:drawing>
      </w:r>
    </w:p>
    <w:p>
      <w:pPr>
        <w:spacing w:after="200"/>
        <w:jc w:val="center"/>
      </w:pPr>
      <w:r>
        <w:rPr>
          <w:i/>
          <w:color w:val="5F6368"/>
          <w:sz w:val="17"/>
        </w:rPr>
        <w:t>Fig. 8 — Top 10 stations de départ — Casual riders (cibles prioritaires)  (06_top10_stations.png)</w:t>
      </w:r>
    </w:p>
    <w:tbl>
      <w:tblPr>
        <w:tblW w:type="auto" w:w="0"/>
        <w:jc w:val="center"/>
        <w:tblLook w:firstColumn="1" w:firstRow="1" w:lastColumn="0" w:lastRow="0" w:noHBand="0" w:noVBand="1" w:val="04A0"/>
      </w:tblPr>
      <w:tblGrid>
        <w:gridCol w:w="9406"/>
      </w:tblGrid>
      <w:tr>
        <w:tc>
          <w:tcPr>
            <w:tcW w:type="dxa" w:w="9406"/>
            <w:shd w:val="clear" w:color="auto" w:fill="E8F0FE"/>
          </w:tcPr>
          <w:p>
            <w:r>
              <w:rPr>
                <w:b/>
                <w:color w:val="1A73E8"/>
                <w:sz w:val="18"/>
              </w:rPr>
              <w:t xml:space="preserve">  Insight clé</w:t>
            </w:r>
          </w:p>
          <w:p>
            <w:pPr>
              <w:spacing w:after="80"/>
            </w:pPr>
            <w:r>
              <w:rPr>
                <w:i/>
                <w:color w:val="202124"/>
                <w:sz w:val="20"/>
              </w:rPr>
              <w:t xml:space="preserve">  Les 10 stations prioritaires sont toutes concentrées sur le Lakefront de Chicago — une zone de ciblage géographique très précise, idéale pour des campagnes géolocalisées.</w:t>
            </w:r>
          </w:p>
        </w:tc>
      </w:tr>
    </w:tbl>
    <w:p>
      <w:pPr>
        <w:spacing w:after="120"/>
      </w:pPr>
    </w:p>
    <w:p>
      <w:r>
        <w:br w:type="page"/>
      </w:r>
    </w:p>
    <w:p>
      <w:pPr>
        <w:spacing w:before="280" w:after="80"/>
        <w:pBdr>
          <w:bottom w:val="single" w:sz="6" w:space="4" w:color="1A73E8"/>
        </w:pBdr>
      </w:pPr>
      <w:r>
        <w:rPr>
          <w:b/>
          <w:color w:val="1A73E8"/>
          <w:sz w:val="32"/>
        </w:rPr>
        <w:t xml:space="preserve">5.  </w:t>
      </w:r>
      <w:r>
        <w:rPr>
          <w:b/>
          <w:color w:val="202124"/>
          <w:sz w:val="32"/>
        </w:rPr>
        <w:t>Recommandations Marketing</w:t>
      </w:r>
    </w:p>
    <w:p>
      <w:pPr>
        <w:spacing w:after="120"/>
      </w:pPr>
      <w:r>
        <w:rPr>
          <w:b w:val="0"/>
          <w:i w:val="0"/>
          <w:color w:val="202124"/>
          <w:sz w:val="20"/>
        </w:rPr>
        <w:t>Les trois recommandations suivantes découlent directement des insights de l'analyse. Elles sont ordonnées par ratio Impact/Effort décroissant.</w:t>
      </w:r>
    </w:p>
    <w:tbl>
      <w:tblPr>
        <w:tblW w:type="auto" w:w="0"/>
        <w:jc w:val="center"/>
        <w:tblLook w:firstColumn="1" w:firstRow="1" w:lastColumn="0" w:lastRow="0" w:noHBand="0" w:noVBand="1" w:val="04A0"/>
      </w:tblPr>
      <w:tblGrid>
        <w:gridCol w:w="9406"/>
      </w:tblGrid>
      <w:tr>
        <w:tc>
          <w:tcPr>
            <w:tcW w:type="dxa" w:w="9406"/>
            <w:shd w:val="clear" w:color="auto" w:fill="E8F0FE"/>
          </w:tcPr>
          <w:p>
            <w:r>
              <w:rPr>
                <w:b/>
                <w:color w:val="1A73E8"/>
                <w:sz w:val="22"/>
              </w:rPr>
              <w:t xml:space="preserve">  RECOMMANDATION 1 — Campagne « Week-end → Abonnement » géolocalisée</w:t>
            </w:r>
          </w:p>
          <w:p>
            <w:pPr>
              <w:spacing w:after="60"/>
              <w:ind w:left="227"/>
            </w:pPr>
            <w:r>
              <w:rPr>
                <w:b/>
                <w:color w:val="202124"/>
                <w:sz w:val="20"/>
              </w:rPr>
              <w:t xml:space="preserve">Insight : </w:t>
            </w:r>
            <w:r>
              <w:rPr>
                <w:sz w:val="20"/>
              </w:rPr>
              <w:t>Les casual riders se concentrent le week-end sur des stations touristiques identifiables.</w:t>
            </w:r>
          </w:p>
          <w:p>
            <w:pPr>
              <w:spacing w:after="60"/>
              <w:ind w:left="227"/>
            </w:pPr>
            <w:r>
              <w:rPr>
                <w:b/>
                <w:color w:val="202124"/>
                <w:sz w:val="20"/>
              </w:rPr>
              <w:t xml:space="preserve">Action : </w:t>
            </w:r>
            <w:r>
              <w:rPr>
                <w:sz w:val="20"/>
              </w:rPr>
              <w:t>Publicités géolocalisées dans un rayon de 500 m autour des 10 stations casual prioritaires, vendredi soir et samedi matin.</w:t>
            </w:r>
          </w:p>
          <w:p>
            <w:pPr>
              <w:spacing w:after="60"/>
              <w:ind w:left="227"/>
            </w:pPr>
            <w:r>
              <w:rPr>
                <w:b/>
                <w:color w:val="202124"/>
                <w:sz w:val="20"/>
              </w:rPr>
              <w:t xml:space="preserve">Message clé : </w:t>
            </w:r>
            <w:r>
              <w:rPr>
                <w:sz w:val="20"/>
              </w:rPr>
              <w:t>« Tu roules déjà le week-end — économise avec l'abonnement annuel. »</w:t>
            </w:r>
          </w:p>
          <w:p>
            <w:pPr>
              <w:spacing w:after="60"/>
              <w:ind w:left="227"/>
            </w:pPr>
            <w:r>
              <w:rPr>
                <w:b/>
                <w:color w:val="202124"/>
                <w:sz w:val="20"/>
              </w:rPr>
              <w:t xml:space="preserve">Canaux : </w:t>
            </w:r>
            <w:r>
              <w:rPr>
                <w:sz w:val="20"/>
              </w:rPr>
              <w:t>Instagram/TikTok géolocalisés · notifications push in-app · affichage en station.</w:t>
            </w:r>
          </w:p>
          <w:p>
            <w:pPr>
              <w:spacing w:after="60"/>
              <w:ind w:left="227"/>
            </w:pPr>
            <w:r>
              <w:rPr>
                <w:b/>
                <w:color w:val="202124"/>
                <w:sz w:val="20"/>
              </w:rPr>
              <w:t xml:space="preserve">Impact attendu : </w:t>
            </w:r>
            <w:r>
              <w:rPr>
                <w:sz w:val="20"/>
              </w:rPr>
              <w:t>Conversion des casual récurrents du week-end au moment de leur usage maximal.</w:t>
            </w:r>
          </w:p>
        </w:tc>
      </w:tr>
    </w:tbl>
    <w:p>
      <w:pPr>
        <w:spacing w:after="120"/>
      </w:pPr>
    </w:p>
    <w:tbl>
      <w:tblPr>
        <w:tblW w:type="auto" w:w="0"/>
        <w:jc w:val="center"/>
        <w:tblLook w:firstColumn="1" w:firstRow="1" w:lastColumn="0" w:lastRow="0" w:noHBand="0" w:noVBand="1" w:val="04A0"/>
      </w:tblPr>
      <w:tblGrid>
        <w:gridCol w:w="9406"/>
      </w:tblGrid>
      <w:tr>
        <w:tc>
          <w:tcPr>
            <w:tcW w:type="dxa" w:w="9406"/>
            <w:shd w:val="clear" w:color="auto" w:fill="E6F4EA"/>
          </w:tcPr>
          <w:p>
            <w:r>
              <w:rPr>
                <w:b/>
                <w:color w:val="34A853"/>
                <w:sz w:val="22"/>
              </w:rPr>
              <w:t xml:space="preserve">  RECOMMANDATION 2 — Offre « Été → Membre » à tarif préférentiel</w:t>
            </w:r>
          </w:p>
          <w:p>
            <w:pPr>
              <w:spacing w:after="60"/>
              <w:ind w:left="227"/>
            </w:pPr>
            <w:r>
              <w:rPr>
                <w:b/>
                <w:color w:val="202124"/>
                <w:sz w:val="20"/>
              </w:rPr>
              <w:t xml:space="preserve">Insight : </w:t>
            </w:r>
            <w:r>
              <w:rPr>
                <w:sz w:val="20"/>
              </w:rPr>
              <w:t>51,5 % des trajets casual en été → fenêtre de conversion optimale.</w:t>
            </w:r>
          </w:p>
          <w:p>
            <w:pPr>
              <w:spacing w:after="60"/>
              <w:ind w:left="227"/>
            </w:pPr>
            <w:r>
              <w:rPr>
                <w:b/>
                <w:color w:val="202124"/>
                <w:sz w:val="20"/>
              </w:rPr>
              <w:t xml:space="preserve">Action : </w:t>
            </w:r>
            <w:r>
              <w:rPr>
                <w:sz w:val="20"/>
              </w:rPr>
              <w:t>En mai–juin : 2 premiers mois offerts aux casual ayant effectué 3+ trajets en 30 jours. Email personnalisé avec calcul d'économies réalisées.</w:t>
            </w:r>
          </w:p>
          <w:p>
            <w:pPr>
              <w:spacing w:after="60"/>
              <w:ind w:left="227"/>
            </w:pPr>
            <w:r>
              <w:rPr>
                <w:b/>
                <w:color w:val="202124"/>
                <w:sz w:val="20"/>
              </w:rPr>
              <w:t xml:space="preserve">Message clé : </w:t>
            </w:r>
            <w:r>
              <w:rPr>
                <w:sz w:val="20"/>
              </w:rPr>
              <w:t>« Tu as utilisé Cyclistic X fois ce mois-ci — tu aurais économisé Y€ avec un abonnement. »</w:t>
            </w:r>
          </w:p>
          <w:p>
            <w:pPr>
              <w:spacing w:after="60"/>
              <w:ind w:left="227"/>
            </w:pPr>
            <w:r>
              <w:rPr>
                <w:b/>
                <w:color w:val="202124"/>
                <w:sz w:val="20"/>
              </w:rPr>
              <w:t xml:space="preserve">Canaux : </w:t>
            </w:r>
            <w:r>
              <w:rPr>
                <w:sz w:val="20"/>
              </w:rPr>
              <w:t>Email ciblé · notification push in-app · bannières dans l'app.</w:t>
            </w:r>
          </w:p>
          <w:p>
            <w:pPr>
              <w:spacing w:after="60"/>
              <w:ind w:left="227"/>
            </w:pPr>
            <w:r>
              <w:rPr>
                <w:b/>
                <w:color w:val="202124"/>
                <w:sz w:val="20"/>
              </w:rPr>
              <w:t xml:space="preserve">Impact attendu : </w:t>
            </w:r>
            <w:r>
              <w:rPr>
                <w:sz w:val="20"/>
              </w:rPr>
              <w:t>Conversion pendant le pic d'usage, avant l'inactivité automne/hiver.</w:t>
            </w:r>
          </w:p>
        </w:tc>
      </w:tr>
    </w:tbl>
    <w:p>
      <w:pPr>
        <w:spacing w:after="120"/>
      </w:pPr>
    </w:p>
    <w:tbl>
      <w:tblPr>
        <w:tblW w:type="auto" w:w="0"/>
        <w:jc w:val="center"/>
        <w:tblLook w:firstColumn="1" w:firstRow="1" w:lastColumn="0" w:lastRow="0" w:noHBand="0" w:noVBand="1" w:val="04A0"/>
      </w:tblPr>
      <w:tblGrid>
        <w:gridCol w:w="9406"/>
      </w:tblGrid>
      <w:tr>
        <w:tc>
          <w:tcPr>
            <w:tcW w:type="dxa" w:w="9406"/>
            <w:shd w:val="clear" w:color="auto" w:fill="FEF7E0"/>
          </w:tcPr>
          <w:p>
            <w:r>
              <w:rPr>
                <w:b/>
                <w:color w:val="B06000"/>
                <w:sz w:val="22"/>
              </w:rPr>
              <w:t xml:space="preserve">  RECOMMANDATION 3 — Calculateur d'économies « domicile-travail »</w:t>
            </w:r>
          </w:p>
          <w:p>
            <w:pPr>
              <w:spacing w:after="60"/>
              <w:ind w:left="227"/>
            </w:pPr>
            <w:r>
              <w:rPr>
                <w:b/>
                <w:color w:val="202124"/>
                <w:sz w:val="20"/>
              </w:rPr>
              <w:t xml:space="preserve">Insight : </w:t>
            </w:r>
            <w:r>
              <w:rPr>
                <w:sz w:val="20"/>
              </w:rPr>
              <w:t>Les membres utilisent les vélos aux heures de rush (8h, 17h). Les casual ignorent peut-être cet usage.</w:t>
            </w:r>
          </w:p>
          <w:p>
            <w:pPr>
              <w:spacing w:after="60"/>
              <w:ind w:left="227"/>
            </w:pPr>
            <w:r>
              <w:rPr>
                <w:b/>
                <w:color w:val="202124"/>
                <w:sz w:val="20"/>
              </w:rPr>
              <w:t xml:space="preserve">Action : </w:t>
            </w:r>
            <w:r>
              <w:rPr>
                <w:sz w:val="20"/>
              </w:rPr>
              <w:t>Calculateur interactif dans l'app : « Si tu fais X trajets/semaine, l'abonnement te coûte Y€/trajet vs Z€ en pass journée. »</w:t>
            </w:r>
          </w:p>
          <w:p>
            <w:pPr>
              <w:spacing w:after="60"/>
              <w:ind w:left="227"/>
            </w:pPr>
            <w:r>
              <w:rPr>
                <w:b/>
                <w:color w:val="202124"/>
                <w:sz w:val="20"/>
              </w:rPr>
              <w:t xml:space="preserve">Canaux : </w:t>
            </w:r>
            <w:r>
              <w:rPr>
                <w:sz w:val="20"/>
              </w:rPr>
              <w:t>Content marketing · affichage stations aux heures de rush.</w:t>
            </w:r>
          </w:p>
          <w:p>
            <w:pPr>
              <w:spacing w:after="60"/>
              <w:ind w:left="227"/>
            </w:pPr>
            <w:r>
              <w:rPr>
                <w:b/>
                <w:color w:val="202124"/>
                <w:sz w:val="20"/>
              </w:rPr>
              <w:t xml:space="preserve">Impact attendu : </w:t>
            </w:r>
            <w:r>
              <w:rPr>
                <w:sz w:val="20"/>
              </w:rPr>
              <w:t>Démonstration concrète de la valeur économique de l'abonnement.</w:t>
            </w:r>
          </w:p>
        </w:tc>
      </w:tr>
    </w:tbl>
    <w:p>
      <w:pPr>
        <w:spacing w:after="120"/>
      </w:pPr>
    </w:p>
    <w:p>
      <w:pPr>
        <w:spacing w:before="200" w:after="80"/>
      </w:pPr>
      <w:r>
        <w:rPr>
          <w:b/>
          <w:color w:val="202124"/>
          <w:sz w:val="24"/>
        </w:rPr>
        <w:t>5.4  Matrice de priorisation — Effort × Impact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1A73E8"/>
          </w:tcPr>
          <w:p>
            <w:pPr>
              <w:jc w:val="center"/>
            </w:pPr>
            <w:r>
              <w:rPr>
                <w:b/>
                <w:color w:val="FFFFFF"/>
                <w:sz w:val="18"/>
              </w:rPr>
              <w:t>Recommandation</w:t>
            </w:r>
          </w:p>
        </w:tc>
        <w:tc>
          <w:tcPr>
            <w:tcW w:type="dxa" w:w="1134"/>
            <w:shd w:val="clear" w:color="auto" w:fill="1A73E8"/>
          </w:tcPr>
          <w:p>
            <w:pPr>
              <w:jc w:val="center"/>
            </w:pPr>
            <w:r>
              <w:rPr>
                <w:b/>
                <w:color w:val="FFFFFF"/>
                <w:sz w:val="18"/>
              </w:rPr>
              <w:t>Effort</w:t>
            </w:r>
          </w:p>
        </w:tc>
        <w:tc>
          <w:tcPr>
            <w:tcW w:type="dxa" w:w="1701"/>
            <w:shd w:val="clear" w:color="auto" w:fill="1A73E8"/>
          </w:tcPr>
          <w:p>
            <w:pPr>
              <w:jc w:val="center"/>
            </w:pPr>
            <w:r>
              <w:rPr>
                <w:b/>
                <w:color w:val="FFFFFF"/>
                <w:sz w:val="18"/>
              </w:rPr>
              <w:t>Impact estimé</w:t>
            </w:r>
          </w:p>
        </w:tc>
        <w:tc>
          <w:tcPr>
            <w:tcW w:type="dxa" w:w="1417"/>
            <w:shd w:val="clear" w:color="auto" w:fill="1A73E8"/>
          </w:tcPr>
          <w:p>
            <w:pPr>
              <w:jc w:val="center"/>
            </w:pPr>
            <w:r>
              <w:rPr>
                <w:b/>
                <w:color w:val="FFFFFF"/>
                <w:sz w:val="18"/>
              </w:rPr>
              <w:t>Délai</w:t>
            </w:r>
          </w:p>
        </w:tc>
        <w:tc>
          <w:tcPr>
            <w:tcW w:type="dxa" w:w="2268"/>
            <w:shd w:val="clear" w:color="auto" w:fill="1A73E8"/>
          </w:tcPr>
          <w:p>
            <w:pPr>
              <w:jc w:val="center"/>
            </w:pPr>
            <w:r>
              <w:rPr>
                <w:b/>
                <w:color w:val="FFFFFF"/>
                <w:sz w:val="18"/>
              </w:rPr>
              <w:t>KPI de mesure</w:t>
            </w:r>
          </w:p>
        </w:tc>
      </w:tr>
      <w:tr>
        <w:tc>
          <w:tcPr>
            <w:tcW w:type="dxa" w:w="2551"/>
            <w:shd w:val="clear" w:color="auto" w:fill="F8F9FA"/>
          </w:tcPr>
          <w:p>
            <w:r>
              <w:rPr>
                <w:sz w:val="18"/>
              </w:rPr>
              <w:t>1 — Campagne géolocalisée</w:t>
            </w:r>
          </w:p>
        </w:tc>
        <w:tc>
          <w:tcPr>
            <w:tcW w:type="dxa" w:w="1134"/>
            <w:shd w:val="clear" w:color="auto" w:fill="F8F9FA"/>
          </w:tcPr>
          <w:p>
            <w:r>
              <w:rPr>
                <w:sz w:val="18"/>
              </w:rPr>
              <w:t>Faible</w:t>
            </w:r>
          </w:p>
        </w:tc>
        <w:tc>
          <w:tcPr>
            <w:tcW w:type="dxa" w:w="1701"/>
            <w:shd w:val="clear" w:color="auto" w:fill="F8F9FA"/>
          </w:tcPr>
          <w:p>
            <w:r>
              <w:rPr>
                <w:sz w:val="18"/>
              </w:rPr>
              <w:t>Élevé ★★★★</w:t>
            </w:r>
          </w:p>
        </w:tc>
        <w:tc>
          <w:tcPr>
            <w:tcW w:type="dxa" w:w="1417"/>
            <w:shd w:val="clear" w:color="auto" w:fill="F8F9FA"/>
          </w:tcPr>
          <w:p>
            <w:r>
              <w:rPr>
                <w:sz w:val="18"/>
              </w:rPr>
              <w:t>1–2 semaines</w:t>
            </w:r>
          </w:p>
        </w:tc>
        <w:tc>
          <w:tcPr>
            <w:tcW w:type="dxa" w:w="2268"/>
            <w:shd w:val="clear" w:color="auto" w:fill="F8F9FA"/>
          </w:tcPr>
          <w:p>
            <w:r>
              <w:rPr>
                <w:sz w:val="18"/>
              </w:rPr>
              <w:t>Taux de conversion par station</w:t>
            </w:r>
          </w:p>
        </w:tc>
      </w:tr>
      <w:tr>
        <w:tc>
          <w:tcPr>
            <w:tcW w:type="dxa" w:w="2551"/>
          </w:tcPr>
          <w:p>
            <w:r>
              <w:rPr>
                <w:sz w:val="18"/>
              </w:rPr>
              <w:t>2 — Offre été Membre</w:t>
            </w:r>
          </w:p>
        </w:tc>
        <w:tc>
          <w:tcPr>
            <w:tcW w:type="dxa" w:w="1134"/>
          </w:tcPr>
          <w:p>
            <w:r>
              <w:rPr>
                <w:sz w:val="18"/>
              </w:rPr>
              <w:t>Moyen</w:t>
            </w:r>
          </w:p>
        </w:tc>
        <w:tc>
          <w:tcPr>
            <w:tcW w:type="dxa" w:w="1701"/>
          </w:tcPr>
          <w:p>
            <w:r>
              <w:rPr>
                <w:sz w:val="18"/>
              </w:rPr>
              <w:t>Très élevé ★★★★★</w:t>
            </w:r>
          </w:p>
        </w:tc>
        <w:tc>
          <w:tcPr>
            <w:tcW w:type="dxa" w:w="1417"/>
          </w:tcPr>
          <w:p>
            <w:r>
              <w:rPr>
                <w:sz w:val="18"/>
              </w:rPr>
              <w:t>2–4 semaines</w:t>
            </w:r>
          </w:p>
        </w:tc>
        <w:tc>
          <w:tcPr>
            <w:tcW w:type="dxa" w:w="2268"/>
          </w:tcPr>
          <w:p>
            <w:r>
              <w:rPr>
                <w:sz w:val="18"/>
              </w:rPr>
              <w:t>Nouveaux membres juin–août</w:t>
            </w:r>
          </w:p>
        </w:tc>
      </w:tr>
      <w:tr>
        <w:tc>
          <w:tcPr>
            <w:tcW w:type="dxa" w:w="2551"/>
            <w:shd w:val="clear" w:color="auto" w:fill="F8F9FA"/>
          </w:tcPr>
          <w:p>
            <w:r>
              <w:rPr>
                <w:sz w:val="18"/>
              </w:rPr>
              <w:t>3 — Calculateur économies</w:t>
            </w:r>
          </w:p>
        </w:tc>
        <w:tc>
          <w:tcPr>
            <w:tcW w:type="dxa" w:w="1134"/>
            <w:shd w:val="clear" w:color="auto" w:fill="F8F9FA"/>
          </w:tcPr>
          <w:p>
            <w:r>
              <w:rPr>
                <w:sz w:val="18"/>
              </w:rPr>
              <w:t>Moyen</w:t>
            </w:r>
          </w:p>
        </w:tc>
        <w:tc>
          <w:tcPr>
            <w:tcW w:type="dxa" w:w="1701"/>
            <w:shd w:val="clear" w:color="auto" w:fill="F8F9FA"/>
          </w:tcPr>
          <w:p>
            <w:r>
              <w:rPr>
                <w:sz w:val="18"/>
              </w:rPr>
              <w:t>Moyen ★★★</w:t>
            </w:r>
          </w:p>
        </w:tc>
        <w:tc>
          <w:tcPr>
            <w:tcW w:type="dxa" w:w="1417"/>
            <w:shd w:val="clear" w:color="auto" w:fill="F8F9FA"/>
          </w:tcPr>
          <w:p>
            <w:r>
              <w:rPr>
                <w:sz w:val="18"/>
              </w:rPr>
              <w:t>4–8 semaines</w:t>
            </w:r>
          </w:p>
        </w:tc>
        <w:tc>
          <w:tcPr>
            <w:tcW w:type="dxa" w:w="2268"/>
            <w:shd w:val="clear" w:color="auto" w:fill="F8F9FA"/>
          </w:tcPr>
          <w:p>
            <w:r>
              <w:rPr>
                <w:sz w:val="18"/>
              </w:rPr>
              <w:t>CTR calculateur &amp; conversions</w:t>
            </w:r>
          </w:p>
        </w:tc>
      </w:tr>
    </w:tbl>
    <w:p>
      <w:pPr>
        <w:spacing w:after="80"/>
      </w:pPr>
    </w:p>
    <w:p>
      <w:r>
        <w:br w:type="page"/>
      </w:r>
    </w:p>
    <w:p>
      <w:pPr>
        <w:spacing w:before="280" w:after="80"/>
        <w:pBdr>
          <w:bottom w:val="single" w:sz="6" w:space="4" w:color="1A73E8"/>
        </w:pBdr>
      </w:pPr>
      <w:r>
        <w:rPr>
          <w:b/>
          <w:color w:val="1A73E8"/>
          <w:sz w:val="32"/>
        </w:rPr>
        <w:t xml:space="preserve">6.  </w:t>
      </w:r>
      <w:r>
        <w:rPr>
          <w:b/>
          <w:color w:val="202124"/>
          <w:sz w:val="32"/>
        </w:rPr>
        <w:t>Conclusion &amp; Limites</w:t>
      </w:r>
    </w:p>
    <w:p>
      <w:pPr>
        <w:spacing w:before="200" w:after="80"/>
      </w:pPr>
      <w:r>
        <w:rPr>
          <w:b/>
          <w:color w:val="202124"/>
          <w:sz w:val="24"/>
        </w:rPr>
        <w:t>6.1  Synthèse</w:t>
      </w:r>
    </w:p>
    <w:p>
      <w:pPr>
        <w:spacing w:after="120"/>
      </w:pPr>
      <w:r>
        <w:rPr>
          <w:b w:val="0"/>
          <w:i w:val="0"/>
          <w:color w:val="202124"/>
          <w:sz w:val="20"/>
        </w:rPr>
        <w:t>Cette analyse de 3 885 439 trajets (2019–2020) établit une distinction comportementale nette et cohérente entre les deux types d'utilisateurs Cyclistic. Les membres ont un usage utilitaire et régulier, tandis que les casual riders ont un usage récréatif, saisonnier et géographiquement concentré. La convergence de trois signaux temporels (week-end, après-midi, été) et d'un signal géographique (Lakefront) offre un cadre de ciblage marketing très précis.</w:t>
      </w:r>
    </w:p>
    <w:p>
      <w:pPr>
        <w:spacing w:after="120"/>
      </w:pPr>
      <w:r>
        <w:rPr>
          <w:b w:val="0"/>
          <w:i w:val="0"/>
          <w:color w:val="202124"/>
          <w:sz w:val="20"/>
        </w:rPr>
        <w:t>Les casual riders les plus réguliers sont des candidats naturels à la conversion, à condition que la communication leur démontre la valeur de l'abonnement dans leur contexte d'usage réel.</w:t>
      </w:r>
    </w:p>
    <w:p>
      <w:pPr>
        <w:spacing w:before="200" w:after="80"/>
      </w:pPr>
      <w:r>
        <w:rPr>
          <w:b/>
          <w:color w:val="202124"/>
          <w:sz w:val="24"/>
        </w:rPr>
        <w:t>6.2  Limites &amp; prochaines étapes</w:t>
      </w:r>
    </w:p>
    <w:p>
      <w:pPr>
        <w:pStyle w:val="ListBullet"/>
        <w:spacing w:after="60"/>
        <w:ind w:left="283"/>
      </w:pPr>
      <w:r>
        <w:rPr>
          <w:sz w:val="20"/>
        </w:rPr>
        <w:t>Absence de données individuelles : impossible d'identifier les casual récurrents sans accès aux comptes utilisateurs.</w:t>
      </w:r>
    </w:p>
    <w:p>
      <w:pPr>
        <w:pStyle w:val="ListBullet"/>
        <w:spacing w:after="60"/>
        <w:ind w:left="283"/>
      </w:pPr>
      <w:r>
        <w:rPr>
          <w:sz w:val="20"/>
        </w:rPr>
        <w:t>Période historique : une mise à jour avec des données 2022–2024 est recommandée avant le déploiement des campagnes.</w:t>
      </w:r>
    </w:p>
    <w:p>
      <w:pPr>
        <w:pStyle w:val="ListBullet"/>
        <w:spacing w:after="60"/>
        <w:ind w:left="283"/>
      </w:pPr>
      <w:r>
        <w:rPr>
          <w:sz w:val="20"/>
        </w:rPr>
        <w:t>Absence de données démographiques : âge, genre et localisation résidentielle permettraient un ciblage plus fin.</w:t>
      </w:r>
    </w:p>
    <w:p>
      <w:pPr>
        <w:pStyle w:val="ListBullet"/>
        <w:spacing w:after="60"/>
        <w:ind w:left="283"/>
      </w:pPr>
      <w:r>
        <w:rPr>
          <w:sz w:val="20"/>
        </w:rPr>
        <w:t>Recommandation opérationnelle : A/B test sur un sous-groupe de casual riders (1 offre, 1 canal, 1 station pilote) avant déploiement à grande échelle.</w:t>
      </w:r>
    </w:p>
    <w:p/>
    <w:p>
      <w:pPr>
        <w:spacing w:before="240"/>
        <w:jc w:val="center"/>
      </w:pPr>
      <w:r>
        <w:rPr>
          <w:i/>
          <w:color w:val="5F6368"/>
          <w:sz w:val="20"/>
        </w:rPr>
        <w:t>« Les données ne prennent de valeur que lorsqu'elles conduisent à des décisions. Ce rapport a été conçu pour être directement actionnable. »</w:t>
      </w:r>
    </w:p>
    <w:p>
      <w:r>
        <w:br w:type="page"/>
      </w:r>
    </w:p>
    <w:p>
      <w:pPr>
        <w:jc w:val="center"/>
        <w:pBdr>
          <w:bottom w:val="single" w:sz="6" w:space="4" w:color="1A73E8"/>
        </w:pBdr>
      </w:pPr>
      <w:r>
        <w:rPr>
          <w:b/>
          <w:color w:val="1A73E8"/>
          <w:sz w:val="22"/>
        </w:rPr>
        <w:t>RÉALISÉ PAR</w:t>
      </w:r>
    </w:p>
    <w:p/>
    <w:tbl>
      <w:tblPr>
        <w:tblW w:type="auto" w:w="0"/>
        <w:jc w:val="center"/>
        <w:tblLook w:firstColumn="1" w:firstRow="1" w:lastColumn="0" w:lastRow="0" w:noHBand="0" w:noVBand="1" w:val="04A0"/>
      </w:tblPr>
      <w:tblGrid>
        <w:gridCol w:w="4703"/>
        <w:gridCol w:w="4703"/>
      </w:tblGrid>
      <w:tr>
        <w:tc>
          <w:tcPr>
            <w:tcW w:type="dxa" w:w="2551"/>
          </w:tcPr>
          <w:p>
            <w:pPr>
              <w:jc w:val="center"/>
            </w:pPr>
            <w:r>
              <w:drawing>
                <wp:inline xmlns:a="http://schemas.openxmlformats.org/drawingml/2006/main" xmlns:pic="http://schemas.openxmlformats.org/drawingml/2006/picture">
                  <wp:extent cx="1368000" cy="1368000"/>
                  <wp:docPr id="10" name="Picture 10"/>
                  <wp:cNvGraphicFramePr>
                    <a:graphicFrameLocks noChangeAspect="1"/>
                  </wp:cNvGraphicFramePr>
                  <a:graphic>
                    <a:graphicData uri="http://schemas.openxmlformats.org/drawingml/2006/picture">
                      <pic:pic>
                        <pic:nvPicPr>
                          <pic:cNvPr id="0" name="badge_google_da.png"/>
                          <pic:cNvPicPr/>
                        </pic:nvPicPr>
                        <pic:blipFill>
                          <a:blip r:embed="rId10"/>
                          <a:stretch>
                            <a:fillRect/>
                          </a:stretch>
                        </pic:blipFill>
                        <pic:spPr>
                          <a:xfrm>
                            <a:off x="0" y="0"/>
                            <a:ext cx="1368000" cy="1368000"/>
                          </a:xfrm>
                          <a:prstGeom prst="rect"/>
                        </pic:spPr>
                      </pic:pic>
                    </a:graphicData>
                  </a:graphic>
                </wp:inline>
              </w:drawing>
            </w:r>
          </w:p>
        </w:tc>
        <w:tc>
          <w:tcPr>
            <w:tcW w:type="dxa" w:w="6520"/>
          </w:tcPr>
          <w:p>
            <w:pPr>
              <w:spacing w:before="160"/>
            </w:pPr>
            <w:r>
              <w:rPr>
                <w:b/>
                <w:color w:val="202124"/>
                <w:sz w:val="32"/>
              </w:rPr>
              <w:t>Sidi Mohamed ALLY</w:t>
              <w:br/>
            </w:r>
            <w:r>
              <w:rPr>
                <w:i/>
                <w:color w:val="5F6368"/>
                <w:sz w:val="22"/>
              </w:rPr>
              <w:t>Analyste de données Professionnel Certifié</w:t>
              <w:br/>
            </w:r>
            <w:r>
              <w:rPr>
                <w:b/>
                <w:color w:val="1A73E8"/>
                <w:sz w:val="20"/>
              </w:rPr>
              <w:t>Google Data Analytics Professional Certificate</w:t>
              <w:br/>
            </w:r>
            <w:r>
              <w:rPr>
                <w:color w:val="5F6368"/>
                <w:sz w:val="18"/>
              </w:rPr>
              <w:t>Certifié le 13 juin 2026  ·  Délivré par Google &amp; Coursera</w:t>
              <w:br/>
            </w:r>
            <w:r>
              <w:t xml:space="preserve">Badge de certification vérifiable : </w:t>
            </w:r>
            <w:hyperlink r:id="rId11">
              <w:r>
                <w:rPr>
                  <w:u w:val="single"/>
                  <w:color w:val="1A73E8"/>
                  <w:sz w:val="18"/>
                </w:rPr>
                <w:t>https://www.credly.com/go/RarXbDJG</w:t>
              </w:r>
            </w:hyperlink>
          </w:p>
        </w:tc>
      </w:tr>
    </w:tbl>
    <w:p>
      <w:r>
        <w:br w:type="page"/>
      </w:r>
    </w:p>
    <w:p>
      <w:pPr>
        <w:pBdr>
          <w:bottom w:val="single" w:sz="6" w:space="4" w:color="1A73E8"/>
        </w:pBdr>
      </w:pPr>
      <w:r>
        <w:rPr>
          <w:b/>
          <w:color w:val="1A73E8"/>
          <w:sz w:val="28"/>
        </w:rPr>
        <w:t>GLOSSAIRE</w:t>
      </w:r>
    </w:p>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A73E8"/>
          </w:tcPr>
          <w:p>
            <w:pPr>
              <w:jc w:val="center"/>
            </w:pPr>
            <w:r>
              <w:rPr>
                <w:b/>
                <w:color w:val="FFFFFF"/>
                <w:sz w:val="18"/>
              </w:rPr>
              <w:t>Terme</w:t>
            </w:r>
          </w:p>
        </w:tc>
        <w:tc>
          <w:tcPr>
            <w:tcW w:type="dxa" w:w="7087"/>
            <w:shd w:val="clear" w:color="auto" w:fill="1A73E8"/>
          </w:tcPr>
          <w:p>
            <w:pPr>
              <w:jc w:val="center"/>
            </w:pPr>
            <w:r>
              <w:rPr>
                <w:b/>
                <w:color w:val="FFFFFF"/>
                <w:sz w:val="18"/>
              </w:rPr>
              <w:t>Définition</w:t>
            </w:r>
          </w:p>
        </w:tc>
      </w:tr>
      <w:tr>
        <w:tc>
          <w:tcPr>
            <w:tcW w:type="dxa" w:w="1984"/>
            <w:shd w:val="clear" w:color="auto" w:fill="F8F9FA"/>
          </w:tcPr>
          <w:p>
            <w:r>
              <w:rPr>
                <w:sz w:val="18"/>
              </w:rPr>
              <w:t>A/B Test</w:t>
            </w:r>
          </w:p>
        </w:tc>
        <w:tc>
          <w:tcPr>
            <w:tcW w:type="dxa" w:w="7087"/>
            <w:shd w:val="clear" w:color="auto" w:fill="F8F9FA"/>
          </w:tcPr>
          <w:p>
            <w:r>
              <w:rPr>
                <w:sz w:val="18"/>
              </w:rPr>
              <w:t>Expérimentation marketing comparant deux variantes (A et B) pour mesurer laquelle est la plus efficace.</w:t>
            </w:r>
          </w:p>
        </w:tc>
      </w:tr>
      <w:tr>
        <w:tc>
          <w:tcPr>
            <w:tcW w:type="dxa" w:w="1984"/>
          </w:tcPr>
          <w:p>
            <w:r>
              <w:rPr>
                <w:sz w:val="18"/>
              </w:rPr>
              <w:t>Casual rider</w:t>
            </w:r>
          </w:p>
        </w:tc>
        <w:tc>
          <w:tcPr>
            <w:tcW w:type="dxa" w:w="7087"/>
          </w:tcPr>
          <w:p>
            <w:r>
              <w:rPr>
                <w:sz w:val="18"/>
              </w:rPr>
              <w:t>Utilisateur Cyclistic ayant souscrit un pass journée ou un pass trajet unique (non-membre).</w:t>
            </w:r>
          </w:p>
        </w:tc>
      </w:tr>
      <w:tr>
        <w:tc>
          <w:tcPr>
            <w:tcW w:type="dxa" w:w="1984"/>
            <w:shd w:val="clear" w:color="auto" w:fill="F8F9FA"/>
          </w:tcPr>
          <w:p>
            <w:r>
              <w:rPr>
                <w:sz w:val="18"/>
              </w:rPr>
              <w:t>Credly</w:t>
            </w:r>
          </w:p>
        </w:tc>
        <w:tc>
          <w:tcPr>
            <w:tcW w:type="dxa" w:w="7087"/>
            <w:shd w:val="clear" w:color="auto" w:fill="F8F9FA"/>
          </w:tcPr>
          <w:p>
            <w:r>
              <w:rPr>
                <w:sz w:val="18"/>
              </w:rPr>
              <w:t>Plateforme de badges de certification numériques vérifiables en ligne.</w:t>
            </w:r>
          </w:p>
        </w:tc>
      </w:tr>
      <w:tr>
        <w:tc>
          <w:tcPr>
            <w:tcW w:type="dxa" w:w="1984"/>
          </w:tcPr>
          <w:p>
            <w:r>
              <w:rPr>
                <w:sz w:val="18"/>
              </w:rPr>
              <w:t>CTR</w:t>
            </w:r>
          </w:p>
        </w:tc>
        <w:tc>
          <w:tcPr>
            <w:tcW w:type="dxa" w:w="7087"/>
          </w:tcPr>
          <w:p>
            <w:r>
              <w:rPr>
                <w:sz w:val="18"/>
              </w:rPr>
              <w:t>Click-Through Rate — taux de clic sur une publicité ou un élément interactif.</w:t>
            </w:r>
          </w:p>
        </w:tc>
      </w:tr>
      <w:tr>
        <w:tc>
          <w:tcPr>
            <w:tcW w:type="dxa" w:w="1984"/>
            <w:shd w:val="clear" w:color="auto" w:fill="F8F9FA"/>
          </w:tcPr>
          <w:p>
            <w:r>
              <w:rPr>
                <w:sz w:val="18"/>
              </w:rPr>
              <w:t>CSV</w:t>
            </w:r>
          </w:p>
        </w:tc>
        <w:tc>
          <w:tcPr>
            <w:tcW w:type="dxa" w:w="7087"/>
            <w:shd w:val="clear" w:color="auto" w:fill="F8F9FA"/>
          </w:tcPr>
          <w:p>
            <w:r>
              <w:rPr>
                <w:sz w:val="18"/>
              </w:rPr>
              <w:t>Comma-Separated Values — format de fichier texte pour les données tabulaires.</w:t>
            </w:r>
          </w:p>
        </w:tc>
      </w:tr>
      <w:tr>
        <w:tc>
          <w:tcPr>
            <w:tcW w:type="dxa" w:w="1984"/>
          </w:tcPr>
          <w:p>
            <w:r>
              <w:rPr>
                <w:sz w:val="18"/>
              </w:rPr>
              <w:t>KPI</w:t>
            </w:r>
          </w:p>
        </w:tc>
        <w:tc>
          <w:tcPr>
            <w:tcW w:type="dxa" w:w="7087"/>
          </w:tcPr>
          <w:p>
            <w:r>
              <w:rPr>
                <w:sz w:val="18"/>
              </w:rPr>
              <w:t>Key Performance Indicator — indicateur clé de performance permettant de mesurer l'atteinte d'un objectif.</w:t>
            </w:r>
          </w:p>
        </w:tc>
      </w:tr>
      <w:tr>
        <w:tc>
          <w:tcPr>
            <w:tcW w:type="dxa" w:w="1984"/>
            <w:shd w:val="clear" w:color="auto" w:fill="F8F9FA"/>
          </w:tcPr>
          <w:p>
            <w:r>
              <w:rPr>
                <w:sz w:val="18"/>
              </w:rPr>
              <w:t>Member</w:t>
            </w:r>
          </w:p>
        </w:tc>
        <w:tc>
          <w:tcPr>
            <w:tcW w:type="dxa" w:w="7087"/>
            <w:shd w:val="clear" w:color="auto" w:fill="F8F9FA"/>
          </w:tcPr>
          <w:p>
            <w:r>
              <w:rPr>
                <w:sz w:val="18"/>
              </w:rPr>
              <w:t>Utilisateur Cyclistic détenteur d'un abonnement annuel.</w:t>
            </w:r>
          </w:p>
        </w:tc>
      </w:tr>
      <w:tr>
        <w:tc>
          <w:tcPr>
            <w:tcW w:type="dxa" w:w="1984"/>
          </w:tcPr>
          <w:p>
            <w:r>
              <w:rPr>
                <w:sz w:val="18"/>
              </w:rPr>
              <w:t>PII</w:t>
            </w:r>
          </w:p>
        </w:tc>
        <w:tc>
          <w:tcPr>
            <w:tcW w:type="dxa" w:w="7087"/>
          </w:tcPr>
          <w:p>
            <w:r>
              <w:rPr>
                <w:sz w:val="18"/>
              </w:rPr>
              <w:t>Personally Identifiable Information — toute donnée permettant d'identifier une personne physique.</w:t>
            </w:r>
          </w:p>
        </w:tc>
      </w:tr>
      <w:tr>
        <w:tc>
          <w:tcPr>
            <w:tcW w:type="dxa" w:w="1984"/>
            <w:shd w:val="clear" w:color="auto" w:fill="F8F9FA"/>
          </w:tcPr>
          <w:p>
            <w:r>
              <w:rPr>
                <w:sz w:val="18"/>
              </w:rPr>
              <w:t>ROCCC</w:t>
            </w:r>
          </w:p>
        </w:tc>
        <w:tc>
          <w:tcPr>
            <w:tcW w:type="dxa" w:w="7087"/>
            <w:shd w:val="clear" w:color="auto" w:fill="F8F9FA"/>
          </w:tcPr>
          <w:p>
            <w:r>
              <w:rPr>
                <w:sz w:val="18"/>
              </w:rPr>
              <w:t>Cadre d'évaluation de la qualité des données : Reliable, Original, Comprehensive, Current, Cited.</w:t>
            </w:r>
          </w:p>
        </w:tc>
      </w:tr>
      <w:tr>
        <w:tc>
          <w:tcPr>
            <w:tcW w:type="dxa" w:w="1984"/>
          </w:tcPr>
          <w:p>
            <w:r>
              <w:rPr>
                <w:sz w:val="18"/>
              </w:rPr>
              <w:t>Rush hours</w:t>
            </w:r>
          </w:p>
        </w:tc>
        <w:tc>
          <w:tcPr>
            <w:tcW w:type="dxa" w:w="7087"/>
          </w:tcPr>
          <w:p>
            <w:r>
              <w:rPr>
                <w:sz w:val="18"/>
              </w:rPr>
              <w:t>Heures de pointe des transports (7h–9h et 16h–18h) caractérisées par un trafic intense.</w:t>
            </w:r>
          </w:p>
        </w:tc>
      </w:tr>
      <w:tr>
        <w:tc>
          <w:tcPr>
            <w:tcW w:type="dxa" w:w="1984"/>
            <w:shd w:val="clear" w:color="auto" w:fill="F8F9FA"/>
          </w:tcPr>
          <w:p>
            <w:r>
              <w:rPr>
                <w:sz w:val="18"/>
              </w:rPr>
              <w:t>SQL</w:t>
            </w:r>
          </w:p>
        </w:tc>
        <w:tc>
          <w:tcPr>
            <w:tcW w:type="dxa" w:w="7087"/>
            <w:shd w:val="clear" w:color="auto" w:fill="F8F9FA"/>
          </w:tcPr>
          <w:p>
            <w:r>
              <w:rPr>
                <w:sz w:val="18"/>
              </w:rPr>
              <w:t>Structured Query Language — langage de requête pour les bases de données relationnelles.</w:t>
            </w:r>
          </w:p>
        </w:tc>
      </w:tr>
    </w:tbl>
    <w:p>
      <w:pPr>
        <w:spacing w:after="80"/>
      </w:pPr>
    </w:p>
    <w:p>
      <w:r>
        <w:br w:type="page"/>
      </w:r>
    </w:p>
    <w:p>
      <w:pPr>
        <w:spacing w:before="280" w:after="80"/>
        <w:pBdr>
          <w:bottom w:val="single" w:sz="6" w:space="4" w:color="1A73E8"/>
        </w:pBdr>
      </w:pPr>
      <w:r>
        <w:rPr>
          <w:b/>
          <w:color w:val="1A73E8"/>
          <w:sz w:val="32"/>
        </w:rPr>
        <w:t xml:space="preserve">A.  </w:t>
      </w:r>
      <w:r>
        <w:rPr>
          <w:b/>
          <w:color w:val="202124"/>
          <w:sz w:val="32"/>
        </w:rPr>
        <w:t>Annexe — Requêtes SQL</w:t>
      </w:r>
    </w:p>
    <w:p>
      <w:pPr>
        <w:spacing w:after="120"/>
      </w:pPr>
      <w:r>
        <w:rPr>
          <w:b w:val="0"/>
          <w:i w:val="0"/>
          <w:color w:val="202124"/>
          <w:sz w:val="20"/>
        </w:rPr>
        <w:t>Les 12 requêtes SQL ci-dessous reproduisent l'analyse en SQL standard (PostgreSQL / BigQuery / DuckDB). Note de compatibilité : PERCENTILE_CONT est utilisé à la place de MEDIAN() pour assurer la portabilité sur les moteurs SQL majeurs.</w:t>
      </w:r>
    </w:p>
    <w:p>
      <w:pPr>
        <w:spacing w:after="80"/>
        <w:ind w:left="283"/>
      </w:pPr>
      <w:r>
        <w:rPr>
          <w:rFonts w:ascii="Courier New" w:hAnsi="Courier New"/>
          <w:color w:val="202124"/>
          <w:sz w:val="15"/>
        </w:rPr>
        <w:t>-- ============================================================</w:t>
        <w:br/>
        <w:t>-- 03_queries.sql — Cyclistic Case Study</w:t>
        <w:br/>
        <w:t>-- Requêtes SQL équivalentes à l'analyse Python (03_analysis.py)</w:t>
        <w:br/>
        <w:t>-- Table source : cyclistic_clean</w:t>
        <w:br/>
        <w:t>-- ============================================================</w:t>
      </w:r>
    </w:p>
    <w:p>
      <w:pPr>
        <w:spacing w:before="160"/>
      </w:pPr>
      <w:r>
        <w:rPr>
          <w:b/>
          <w:color w:val="1A73E8"/>
          <w:sz w:val="18"/>
        </w:rPr>
        <w:t>1. Vue d'ensemble : nombre total de trajets par type</w:t>
      </w:r>
    </w:p>
    <w:p>
      <w:pPr>
        <w:spacing w:after="80"/>
        <w:ind w:left="283"/>
      </w:pPr>
      <w:r>
        <w:rPr>
          <w:rFonts w:ascii="Courier New" w:hAnsi="Courier New"/>
          <w:color w:val="202124"/>
          <w:sz w:val="15"/>
        </w:rPr>
        <w:t>-- ── 1. Vue d'ensemble : nombre total de trajets par type ─────────────────────</w:t>
        <w:br/>
        <w:t>-- Compatibilité : PERCENTILE_CONT = PostgreSQL / BigQuery / SQL Server / DuckDB</w:t>
        <w:br/>
        <w:t>--                 Remplacer par MEDIAN() pour SQLite ou MySQL 8.0+</w:t>
        <w:br/>
        <w:t>SELECT</w:t>
        <w:br/>
        <w:t xml:space="preserve">    member_casual,</w:t>
        <w:br/>
        <w:t xml:space="preserve">    COUNT(*)                                                        AS total_rides,</w:t>
        <w:br/>
        <w:t xml:space="preserve">    ROUND(AVG(ride_length), 2)                                      AS avg_ride_length_min,</w:t>
        <w:br/>
        <w:t xml:space="preserve">    ROUND(PERCENTILE_CONT(0.5) WITHIN GROUP</w:t>
        <w:br/>
        <w:t xml:space="preserve">          (ORDER BY ride_length), 2)                                AS median_ride_length_min,</w:t>
        <w:br/>
        <w:t xml:space="preserve">    ROUND(MAX(ride_length), 2)                                      AS max_ride_length_min,</w:t>
        <w:br/>
        <w:t xml:space="preserve">    ROUND(MIN(ride_length), 2)                                      AS min_ride_length_min,</w:t>
        <w:br/>
        <w:t xml:space="preserve">    ROUND(STDDEV(ride_length), 2)                                   AS std_ride_length_min</w:t>
        <w:br/>
        <w:t>FROM cyclistic_clean</w:t>
        <w:br/>
        <w:t>GROUP BY member_casual</w:t>
        <w:br/>
        <w:t>ORDER BY member_casual;</w:t>
      </w:r>
    </w:p>
    <w:p>
      <w:pPr>
        <w:spacing w:before="160"/>
      </w:pPr>
      <w:r>
        <w:rPr>
          <w:b/>
          <w:color w:val="1A73E8"/>
          <w:sz w:val="18"/>
        </w:rPr>
        <w:t>2. Durée moyenne par jour de la semaine et type d'utilisateur</w:t>
      </w:r>
    </w:p>
    <w:p>
      <w:pPr>
        <w:spacing w:after="80"/>
        <w:ind w:left="283"/>
      </w:pPr>
      <w:r>
        <w:rPr>
          <w:rFonts w:ascii="Courier New" w:hAnsi="Courier New"/>
          <w:color w:val="202124"/>
          <w:sz w:val="15"/>
        </w:rPr>
        <w:t>-- ── 2. Durée moyenne par jour de la semaine et type d'utilisateur ────────────</w:t>
        <w:br/>
        <w:t>-- day_of_week : 1=Dimanche, 7=Samedi</w:t>
        <w:br/>
        <w:t>SELECT</w:t>
        <w:br/>
        <w:t xml:space="preserve">    member_casual,</w:t>
        <w:br/>
        <w:t xml:space="preserve">    day_of_week,</w:t>
        <w:br/>
        <w:t xml:space="preserve">    CASE day_of_week</w:t>
        <w:br/>
        <w:t xml:space="preserve">        WHEN 1 THEN 'Dimanche'</w:t>
        <w:br/>
        <w:t xml:space="preserve">        WHEN 2 THEN 'Lundi'</w:t>
        <w:br/>
        <w:t xml:space="preserve">        WHEN 3 THEN 'Mardi'</w:t>
        <w:br/>
        <w:t xml:space="preserve">        WHEN 4 THEN 'Mercredi'</w:t>
        <w:br/>
        <w:t xml:space="preserve">        WHEN 5 THEN 'Jeudi'</w:t>
        <w:br/>
        <w:t xml:space="preserve">        WHEN 6 THEN 'Vendredi'</w:t>
        <w:br/>
        <w:t xml:space="preserve">        WHEN 7 THEN 'Samedi'</w:t>
        <w:br/>
        <w:t xml:space="preserve">    END                             AS day_name,</w:t>
        <w:br/>
        <w:t xml:space="preserve">    COUNT(*)                        AS total_rides,</w:t>
        <w:br/>
        <w:t xml:space="preserve">    ROUND(AVG(ride_length), 2)      AS avg_ride_length_min</w:t>
        <w:br/>
        <w:t>FROM cyclistic_clean</w:t>
        <w:br/>
        <w:t>GROUP BY member_casual, day_of_week</w:t>
        <w:br/>
        <w:t>ORDER BY member_casual, day_of_week;</w:t>
      </w:r>
    </w:p>
    <w:p>
      <w:pPr>
        <w:spacing w:before="160"/>
      </w:pPr>
      <w:r>
        <w:rPr>
          <w:b/>
          <w:color w:val="1A73E8"/>
          <w:sz w:val="18"/>
        </w:rPr>
        <w:t>3. Nombre de trajets par mois et type d'utilisateur</w:t>
      </w:r>
    </w:p>
    <w:p>
      <w:pPr>
        <w:spacing w:after="80"/>
        <w:ind w:left="283"/>
      </w:pPr>
      <w:r>
        <w:rPr>
          <w:rFonts w:ascii="Courier New" w:hAnsi="Courier New"/>
          <w:color w:val="202124"/>
          <w:sz w:val="15"/>
        </w:rPr>
        <w:t>-- ── 3. Nombre de trajets par mois et type d'utilisateur ─────────────────────</w:t>
        <w:br/>
        <w:t>SELECT</w:t>
        <w:br/>
        <w:t xml:space="preserve">    member_casual,</w:t>
        <w:br/>
        <w:t xml:space="preserve">    year,</w:t>
        <w:br/>
        <w:t xml:space="preserve">    month,</w:t>
        <w:br/>
        <w:t xml:space="preserve">    COUNT(*)                        AS total_rides,</w:t>
        <w:br/>
        <w:t xml:space="preserve">    ROUND(AVG(ride_length), 2)      AS avg_ride_length_min</w:t>
        <w:br/>
        <w:t>FROM cyclistic_clean</w:t>
        <w:br/>
        <w:t>GROUP BY member_casual, year, month</w:t>
        <w:br/>
        <w:t>ORDER BY member_casual, year, month;</w:t>
      </w:r>
    </w:p>
    <w:p>
      <w:pPr>
        <w:spacing w:before="160"/>
      </w:pPr>
      <w:r>
        <w:rPr>
          <w:b/>
          <w:color w:val="1A73E8"/>
          <w:sz w:val="18"/>
        </w:rPr>
        <w:t>4. Trajets par saison</w:t>
      </w:r>
    </w:p>
    <w:p>
      <w:pPr>
        <w:spacing w:after="80"/>
        <w:ind w:left="283"/>
      </w:pPr>
      <w:r>
        <w:rPr>
          <w:rFonts w:ascii="Courier New" w:hAnsi="Courier New"/>
          <w:color w:val="202124"/>
          <w:sz w:val="15"/>
        </w:rPr>
        <w:t>-- ── 4. Trajets par saison ─────────────────────────────────────────────────────</w:t>
        <w:br/>
        <w:t>SELECT</w:t>
        <w:br/>
        <w:t xml:space="preserve">    member_casual,</w:t>
        <w:br/>
        <w:t xml:space="preserve">    season,</w:t>
        <w:br/>
        <w:t xml:space="preserve">    COUNT(*)                        AS total_rides,</w:t>
        <w:br/>
        <w:t xml:space="preserve">    ROUND(AVG(ride_length), 2)      AS avg_ride_length_min,</w:t>
        <w:br/>
        <w:t xml:space="preserve">    ROUND(COUNT(*) * 100.0 / SUM(COUNT(*)) OVER (PARTITION BY member_casual), 1)</w:t>
        <w:br/>
        <w:t xml:space="preserve">                                    AS pct_of_user_type</w:t>
        <w:br/>
        <w:t>FROM cyclistic_clean</w:t>
        <w:br/>
        <w:t>GROUP BY member_casual, season</w:t>
        <w:br/>
        <w:t>ORDER BY member_casual,</w:t>
        <w:br/>
        <w:t xml:space="preserve">    CASE season</w:t>
        <w:br/>
        <w:t xml:space="preserve">        WHEN 'Spring' THEN 1</w:t>
        <w:br/>
        <w:t xml:space="preserve">        WHEN 'Summer' THEN 2</w:t>
        <w:br/>
        <w:t xml:space="preserve">        WHEN 'Fall'   THEN 3</w:t>
        <w:br/>
        <w:t xml:space="preserve">        WHEN 'Winter' THEN 4</w:t>
        <w:br/>
        <w:t xml:space="preserve">    END;</w:t>
      </w:r>
    </w:p>
    <w:p>
      <w:pPr>
        <w:spacing w:before="160"/>
      </w:pPr>
      <w:r>
        <w:rPr>
          <w:b/>
          <w:color w:val="1A73E8"/>
          <w:sz w:val="18"/>
        </w:rPr>
        <w:t>5. Types de vélos utilisés</w:t>
      </w:r>
    </w:p>
    <w:p>
      <w:pPr>
        <w:spacing w:after="80"/>
        <w:ind w:left="283"/>
      </w:pPr>
      <w:r>
        <w:rPr>
          <w:rFonts w:ascii="Courier New" w:hAnsi="Courier New"/>
          <w:color w:val="202124"/>
          <w:sz w:val="15"/>
        </w:rPr>
        <w:t>-- ── 5. Types de vélos utilisés ───────────────────────────────────────────────</w:t>
        <w:br/>
        <w:t>SELECT</w:t>
        <w:br/>
        <w:t xml:space="preserve">    member_casual,</w:t>
        <w:br/>
        <w:t xml:space="preserve">    rideable_type,</w:t>
        <w:br/>
        <w:t xml:space="preserve">    COUNT(*)                        AS total_rides,</w:t>
        <w:br/>
        <w:t xml:space="preserve">    ROUND(AVG(ride_length), 2)      AS avg_ride_length_min,</w:t>
        <w:br/>
        <w:t xml:space="preserve">    ROUND(COUNT(*) * 100.0 / SUM(COUNT(*)) OVER (PARTITION BY member_casual), 1)</w:t>
        <w:br/>
        <w:t xml:space="preserve">                                    AS pct_of_user_type</w:t>
        <w:br/>
        <w:t>FROM cyclistic_clean</w:t>
        <w:br/>
        <w:t>GROUP BY member_casual, rideable_type</w:t>
        <w:br/>
        <w:t>ORDER BY member_casual, total_rides DESC;</w:t>
      </w:r>
    </w:p>
    <w:p>
      <w:pPr>
        <w:spacing w:before="160"/>
      </w:pPr>
      <w:r>
        <w:rPr>
          <w:b/>
          <w:color w:val="1A73E8"/>
          <w:sz w:val="18"/>
        </w:rPr>
        <w:t>6. Top 10 stations de départ — membres</w:t>
      </w:r>
    </w:p>
    <w:p>
      <w:pPr>
        <w:spacing w:after="80"/>
        <w:ind w:left="283"/>
      </w:pPr>
      <w:r>
        <w:rPr>
          <w:rFonts w:ascii="Courier New" w:hAnsi="Courier New"/>
          <w:color w:val="202124"/>
          <w:sz w:val="15"/>
        </w:rPr>
        <w:t>-- ── 6. Top 10 stations de départ — membres ───────────────────────────────────</w:t>
        <w:br/>
        <w:t>SELECT</w:t>
        <w:br/>
        <w:t xml:space="preserve">    start_station_name,</w:t>
        <w:br/>
        <w:t xml:space="preserve">    COUNT(*)                        AS total_rides</w:t>
        <w:br/>
        <w:t>FROM cyclistic_clean</w:t>
        <w:br/>
        <w:t>WHERE member_casual = 'member'</w:t>
        <w:br/>
        <w:t xml:space="preserve">  AND start_station_name IS NOT NULL</w:t>
        <w:br/>
        <w:t>GROUP BY start_station_name</w:t>
        <w:br/>
        <w:t>ORDER BY total_rides DESC</w:t>
        <w:br/>
        <w:t>LIMIT 10;</w:t>
      </w:r>
    </w:p>
    <w:p>
      <w:pPr>
        <w:spacing w:before="160"/>
      </w:pPr>
      <w:r>
        <w:rPr>
          <w:b/>
          <w:color w:val="1A73E8"/>
          <w:sz w:val="18"/>
        </w:rPr>
        <w:t>7. Top 10 stations de départ — casual</w:t>
      </w:r>
    </w:p>
    <w:p>
      <w:pPr>
        <w:spacing w:after="80"/>
        <w:ind w:left="283"/>
      </w:pPr>
      <w:r>
        <w:rPr>
          <w:rFonts w:ascii="Courier New" w:hAnsi="Courier New"/>
          <w:color w:val="202124"/>
          <w:sz w:val="15"/>
        </w:rPr>
        <w:t>-- ── 7. Top 10 stations de départ — casual ────────────────────────────────────</w:t>
        <w:br/>
        <w:t>SELECT</w:t>
        <w:br/>
        <w:t xml:space="preserve">    start_station_name,</w:t>
        <w:br/>
        <w:t xml:space="preserve">    COUNT(*)                        AS total_rides</w:t>
        <w:br/>
        <w:t>FROM cyclistic_clean</w:t>
        <w:br/>
        <w:t>WHERE member_casual = 'casual'</w:t>
        <w:br/>
        <w:t xml:space="preserve">  AND start_station_name IS NOT NULL</w:t>
        <w:br/>
        <w:t>GROUP BY start_station_name</w:t>
        <w:br/>
        <w:t>ORDER BY total_rides DESC</w:t>
        <w:br/>
        <w:t>LIMIT 10;</w:t>
      </w:r>
    </w:p>
    <w:p>
      <w:pPr>
        <w:spacing w:before="160"/>
      </w:pPr>
      <w:r>
        <w:rPr>
          <w:b/>
          <w:color w:val="1A73E8"/>
          <w:sz w:val="18"/>
        </w:rPr>
        <w:t>8. Top 10 stations d'arrivée — tous types</w:t>
      </w:r>
    </w:p>
    <w:p>
      <w:pPr>
        <w:spacing w:after="80"/>
        <w:ind w:left="283"/>
      </w:pPr>
      <w:r>
        <w:rPr>
          <w:rFonts w:ascii="Courier New" w:hAnsi="Courier New"/>
          <w:color w:val="202124"/>
          <w:sz w:val="15"/>
        </w:rPr>
        <w:t>-- ── 8. Top 10 stations d'arrivée — tous types ───────────────────────────────</w:t>
        <w:br/>
        <w:t>SELECT</w:t>
        <w:br/>
        <w:t xml:space="preserve">    member_casual,</w:t>
        <w:br/>
        <w:t xml:space="preserve">    end_station_name,</w:t>
        <w:br/>
        <w:t xml:space="preserve">    COUNT(*)                        AS total_rides</w:t>
        <w:br/>
        <w:t>FROM cyclistic_clean</w:t>
        <w:br/>
        <w:t>WHERE end_station_name IS NOT NULL</w:t>
        <w:br/>
        <w:t>GROUP BY member_casual, end_station_name</w:t>
        <w:br/>
        <w:t>ORDER BY member_casual, total_rides DESC</w:t>
        <w:br/>
        <w:t>LIMIT 20;  -- 10 par type</w:t>
      </w:r>
    </w:p>
    <w:p>
      <w:pPr>
        <w:spacing w:before="160"/>
      </w:pPr>
      <w:r>
        <w:rPr>
          <w:b/>
          <w:color w:val="1A73E8"/>
          <w:sz w:val="18"/>
        </w:rPr>
        <w:t>9. Répartition par heure de départ</w:t>
      </w:r>
    </w:p>
    <w:p>
      <w:pPr>
        <w:spacing w:after="80"/>
        <w:ind w:left="283"/>
      </w:pPr>
      <w:r>
        <w:rPr>
          <w:rFonts w:ascii="Courier New" w:hAnsi="Courier New"/>
          <w:color w:val="202124"/>
          <w:sz w:val="15"/>
        </w:rPr>
        <w:t>-- ── 9. Répartition par heure de départ ──────────────────────────────────────</w:t>
        <w:br/>
        <w:t>SELECT</w:t>
        <w:br/>
        <w:t xml:space="preserve">    member_casual,</w:t>
        <w:br/>
        <w:t xml:space="preserve">    hour_of_day,</w:t>
        <w:br/>
        <w:t xml:space="preserve">    COUNT(*)                        AS total_rides,</w:t>
        <w:br/>
        <w:t xml:space="preserve">    ROUND(AVG(ride_length), 2)      AS avg_ride_length_min</w:t>
        <w:br/>
        <w:t>FROM cyclistic_clean</w:t>
        <w:br/>
        <w:t>GROUP BY member_casual, hour_of_day</w:t>
        <w:br/>
        <w:t>ORDER BY member_casual, hour_of_day;</w:t>
      </w:r>
    </w:p>
    <w:p>
      <w:pPr>
        <w:spacing w:before="160"/>
      </w:pPr>
      <w:r>
        <w:rPr>
          <w:b/>
          <w:color w:val="1A73E8"/>
          <w:sz w:val="18"/>
        </w:rPr>
        <w:t>10. Jour de la semaine le plus populaire (mode)</w:t>
      </w:r>
    </w:p>
    <w:p>
      <w:pPr>
        <w:spacing w:after="80"/>
        <w:ind w:left="283"/>
      </w:pPr>
      <w:r>
        <w:rPr>
          <w:rFonts w:ascii="Courier New" w:hAnsi="Courier New"/>
          <w:color w:val="202124"/>
          <w:sz w:val="15"/>
        </w:rPr>
        <w:t>-- ── 10. Jour de la semaine le plus populaire (mode) ─────────────────────────</w:t>
        <w:br/>
        <w:t>-- Requête avec CTE pour trouver le mode par type d'utilisateur</w:t>
        <w:br/>
        <w:t>WITH ranked_days AS (</w:t>
        <w:br/>
        <w:t xml:space="preserve">    SELECT</w:t>
        <w:br/>
        <w:t xml:space="preserve">        member_casual,</w:t>
        <w:br/>
        <w:t xml:space="preserve">        day_of_week,</w:t>
        <w:br/>
        <w:t xml:space="preserve">        COUNT(*)                    AS rides,</w:t>
        <w:br/>
        <w:t xml:space="preserve">        ROW_NUMBER() OVER (</w:t>
        <w:br/>
        <w:t xml:space="preserve">            PARTITION BY member_casual</w:t>
        <w:br/>
        <w:t xml:space="preserve">            ORDER BY COUNT(*) DESC</w:t>
        <w:br/>
        <w:t xml:space="preserve">        )                           AS rnk</w:t>
        <w:br/>
        <w:t xml:space="preserve">    FROM cyclistic_clean</w:t>
        <w:br/>
        <w:t xml:space="preserve">    GROUP BY member_casual, day_of_week</w:t>
        <w:br/>
        <w:t>)</w:t>
        <w:br/>
        <w:t>SELECT</w:t>
        <w:br/>
        <w:t xml:space="preserve">    member_casual,</w:t>
        <w:br/>
        <w:t xml:space="preserve">    day_of_week,</w:t>
        <w:br/>
        <w:t xml:space="preserve">    CASE day_of_week</w:t>
        <w:br/>
        <w:t xml:space="preserve">        WHEN 1 THEN 'Dimanche'</w:t>
        <w:br/>
        <w:t xml:space="preserve">        WHEN 2 THEN 'Lundi'</w:t>
        <w:br/>
        <w:t xml:space="preserve">        WHEN 3 THEN 'Mardi'</w:t>
        <w:br/>
        <w:t xml:space="preserve">        WHEN 4 THEN 'Mercredi'</w:t>
        <w:br/>
        <w:t xml:space="preserve">        WHEN 5 THEN 'Jeudi'</w:t>
        <w:br/>
        <w:t xml:space="preserve">        WHEN 6 THEN 'Vendredi'</w:t>
        <w:br/>
        <w:t xml:space="preserve">        WHEN 7 THEN 'Samedi'</w:t>
        <w:br/>
        <w:t xml:space="preserve">    END                             AS most_popular_day,</w:t>
        <w:br/>
        <w:t xml:space="preserve">    rides</w:t>
        <w:br/>
        <w:t>FROM ranked_days</w:t>
        <w:br/>
        <w:t>WHERE rnk = 1</w:t>
        <w:br/>
        <w:t>ORDER BY member_casual;</w:t>
      </w:r>
    </w:p>
    <w:p>
      <w:pPr>
        <w:spacing w:before="160"/>
      </w:pPr>
      <w:r>
        <w:rPr>
          <w:b/>
          <w:color w:val="1A73E8"/>
          <w:sz w:val="18"/>
        </w:rPr>
        <w:t>11. Comparaison membres vs casual — résumé pivot</w:t>
      </w:r>
    </w:p>
    <w:p>
      <w:pPr>
        <w:spacing w:after="80"/>
        <w:ind w:left="283"/>
      </w:pPr>
      <w:r>
        <w:rPr>
          <w:rFonts w:ascii="Courier New" w:hAnsi="Courier New"/>
          <w:color w:val="202124"/>
          <w:sz w:val="15"/>
        </w:rPr>
        <w:t>-- ── 11. Comparaison membres vs casual — résumé pivot ────────────────────────</w:t>
        <w:br/>
        <w:t>SELECT</w:t>
        <w:br/>
        <w:t xml:space="preserve">    SUM(CASE WHEN member_casual = 'member' THEN 1 ELSE 0 END)  AS member_rides,</w:t>
        <w:br/>
        <w:t xml:space="preserve">    SUM(CASE WHEN member_casual = 'casual' THEN 1 ELSE 0 END)  AS casual_rides,</w:t>
        <w:br/>
        <w:t xml:space="preserve">    ROUND(AVG(CASE WHEN member_casual = 'member' THEN ride_length END), 2)</w:t>
        <w:br/>
        <w:t xml:space="preserve">                                                                AS member_avg_min,</w:t>
        <w:br/>
        <w:t xml:space="preserve">    ROUND(AVG(CASE WHEN member_casual = 'casual' THEN ride_length END), 2)</w:t>
        <w:br/>
        <w:t xml:space="preserve">                                                                AS casual_avg_min</w:t>
        <w:br/>
        <w:t>FROM cyclistic_clean;</w:t>
      </w:r>
    </w:p>
    <w:p>
      <w:pPr>
        <w:spacing w:before="160"/>
      </w:pPr>
      <w:r>
        <w:rPr>
          <w:b/>
          <w:color w:val="1A73E8"/>
          <w:sz w:val="18"/>
        </w:rPr>
        <w:t>12. Stations utilisées en commun (JOIN exemple)</w:t>
      </w:r>
    </w:p>
    <w:p>
      <w:pPr>
        <w:spacing w:after="80"/>
        <w:ind w:left="283"/>
      </w:pPr>
      <w:r>
        <w:rPr>
          <w:rFonts w:ascii="Courier New" w:hAnsi="Courier New"/>
          <w:color w:val="202124"/>
          <w:sz w:val="15"/>
        </w:rPr>
        <w:t>-- ── 12. Stations utilisées en commun (JOIN exemple) ─────────────────────────</w:t>
        <w:br/>
        <w:t>-- Stations populaires pour LES DEUX types d'utilisateurs</w:t>
        <w:br/>
        <w:t>WITH member_stations AS (</w:t>
        <w:br/>
        <w:t xml:space="preserve">    SELECT start_station_name, COUNT(*) AS member_rides</w:t>
        <w:br/>
        <w:t xml:space="preserve">    FROM cyclistic_clean</w:t>
        <w:br/>
        <w:t xml:space="preserve">    WHERE member_casual = 'member' AND start_station_name IS NOT NULL</w:t>
        <w:br/>
        <w:t xml:space="preserve">    GROUP BY start_station_name</w:t>
        <w:br/>
        <w:t>),</w:t>
        <w:br/>
        <w:t>casual_stations AS (</w:t>
        <w:br/>
        <w:t xml:space="preserve">    SELECT start_station_name, COUNT(*) AS casual_rides</w:t>
        <w:br/>
        <w:t xml:space="preserve">    FROM cyclistic_clean</w:t>
        <w:br/>
        <w:t xml:space="preserve">    WHERE member_casual = 'casual' AND start_station_name IS NOT NULL</w:t>
        <w:br/>
        <w:t xml:space="preserve">    GROUP BY start_station_name</w:t>
        <w:br/>
        <w:t>)</w:t>
        <w:br/>
        <w:t>SELECT</w:t>
        <w:br/>
        <w:t xml:space="preserve">    m.start_station_name,</w:t>
        <w:br/>
        <w:t xml:space="preserve">    m.member_rides,</w:t>
        <w:br/>
        <w:t xml:space="preserve">    c.casual_rides,</w:t>
        <w:br/>
        <w:t xml:space="preserve">    m.member_rides + c.casual_rides   AS total_rides</w:t>
        <w:br/>
        <w:t>FROM member_stations m</w:t>
        <w:br/>
        <w:t>JOIN casual_stations c USING (start_station_name)</w:t>
        <w:br/>
        <w:t>ORDER BY total_rides DESC</w:t>
        <w:br/>
        <w:t>LIMIT 20;</w:t>
      </w:r>
    </w:p>
    <w:p>
      <w:r>
        <w:br w:type="page"/>
      </w:r>
    </w:p>
    <w:p>
      <w:pPr>
        <w:spacing w:before="280" w:after="80"/>
        <w:pBdr>
          <w:bottom w:val="single" w:sz="6" w:space="4" w:color="1A73E8"/>
        </w:pBdr>
      </w:pPr>
      <w:r>
        <w:rPr>
          <w:b/>
          <w:color w:val="1A73E8"/>
          <w:sz w:val="32"/>
        </w:rPr>
        <w:t xml:space="preserve">B.  </w:t>
      </w:r>
      <w:r>
        <w:rPr>
          <w:b/>
          <w:color w:val="202124"/>
          <w:sz w:val="32"/>
        </w:rPr>
        <w:t>Annexe — Scripts Python clés</w:t>
      </w:r>
    </w:p>
    <w:p>
      <w:pPr>
        <w:spacing w:after="120"/>
      </w:pPr>
      <w:r>
        <w:rPr>
          <w:b w:val="0"/>
          <w:i w:val="0"/>
          <w:color w:val="202124"/>
          <w:sz w:val="20"/>
        </w:rPr>
        <w:t>Extraits des scripts de nettoyage et d'analyse illustrant les principales décisions techniques. Scripts complets disponibles dans scripts/.</w:t>
      </w:r>
    </w:p>
    <w:p>
      <w:pPr>
        <w:spacing w:before="160"/>
      </w:pPr>
      <w:r>
        <w:rPr>
          <w:b/>
          <w:color w:val="1A73E8"/>
          <w:sz w:val="18"/>
        </w:rPr>
        <w:t>B.1 — Harmonisation du schéma Legacy 2019 (02_cleaning.py)</w:t>
      </w:r>
    </w:p>
    <w:p>
      <w:pPr>
        <w:spacing w:after="120"/>
        <w:ind w:left="283"/>
      </w:pPr>
      <w:r>
        <w:rPr>
          <w:rFonts w:ascii="Courier New" w:hAnsi="Courier New"/>
          <w:color w:val="202124"/>
          <w:sz w:val="15"/>
        </w:rPr>
        <w:t># scripts/02_cleaning.py — Mapping du schéma Legacy 2019</w:t>
        <w:br/>
        <w:t>COLS_2020 = ["ride_id", "rideable_type", "started_at", "ended_at",</w:t>
        <w:br/>
        <w:t xml:space="preserve">             "start_station_name", "start_station_id",</w:t>
        <w:br/>
        <w:t xml:space="preserve">             "end_station_name", "end_station_id",</w:t>
        <w:br/>
        <w:t xml:space="preserve">             "start_lat", "start_lng", "end_lat", "end_lng", "member_casual"]</w:t>
        <w:br/>
        <w:br/>
        <w:t>def load_legacy_2019(path: str) -&gt; pd.DataFrame:</w:t>
        <w:br/>
        <w:t xml:space="preserve">    df = pd.read_csv(path, low_memory=False)</w:t>
        <w:br/>
        <w:t xml:space="preserve">    df = df.rename(columns={</w:t>
        <w:br/>
        <w:t xml:space="preserve">        "trip_id": "ride_id", "start_time": "started_at", "end_time": "ended_at",</w:t>
        <w:br/>
        <w:t xml:space="preserve">        "from_station_id": "start_station_id", "from_station_name": "start_station_name",</w:t>
        <w:br/>
        <w:t xml:space="preserve">        "to_station_id": "end_station_id", "to_station_name": "end_station_name",</w:t>
        <w:br/>
        <w:t xml:space="preserve">        "usertype": "member_casual",</w:t>
        <w:br/>
        <w:t xml:space="preserve">    })</w:t>
        <w:br/>
        <w:t xml:space="preserve">    df["member_casual"] = df["member_casual"].replace({"Subscriber": "member", "Customer": "casual"})</w:t>
        <w:br/>
        <w:t xml:space="preserve">    df["rideable_type"] = "unknown"</w:t>
        <w:br/>
        <w:t xml:space="preserve">    df[["start_lat","start_lng","end_lat","end_lng"]] = np.nan</w:t>
        <w:br/>
        <w:t xml:space="preserve">    return df[COLS_2020]</w:t>
      </w:r>
    </w:p>
    <w:p>
      <w:pPr>
        <w:spacing w:before="160"/>
      </w:pPr>
      <w:r>
        <w:rPr>
          <w:b/>
          <w:color w:val="1A73E8"/>
          <w:sz w:val="18"/>
        </w:rPr>
        <w:t>B.2 — Pipeline de nettoyage (02_cleaning.py)</w:t>
      </w:r>
    </w:p>
    <w:p>
      <w:pPr>
        <w:spacing w:after="120"/>
        <w:ind w:left="283"/>
      </w:pPr>
      <w:r>
        <w:rPr>
          <w:rFonts w:ascii="Courier New" w:hAnsi="Courier New"/>
          <w:color w:val="202124"/>
          <w:sz w:val="15"/>
        </w:rPr>
        <w:t># scripts/02_cleaning.py — Pipeline de nettoyage</w:t>
        <w:br/>
        <w:t>df["started_at"]  = pd.to_datetime(df["started_at"], infer_datetime_format=True, errors="coerce")</w:t>
        <w:br/>
        <w:t>df["ended_at"]    = pd.to_datetime(df["ended_at"],   infer_datetime_format=True, errors="coerce")</w:t>
        <w:br/>
        <w:t>df["ride_length"] = (df["ended_at"] - df["started_at"]).dt.total_seconds() / 60</w:t>
        <w:br/>
        <w:t>df["day_of_week"] = df["started_at"].dt.dayofweek.map({6:1,0:2,1:3,2:4,3:5,4:6,5:7})</w:t>
        <w:br/>
        <w:t>df["month"]       = df["started_at"].dt.month</w:t>
        <w:br/>
        <w:t>df["year"]        = df["started_at"].dt.year</w:t>
        <w:br/>
        <w:t>df["hour_of_day"] = df["started_at"].dt.hour</w:t>
        <w:br/>
        <w:t>df["season"]      = df["month"].map({12:"Winter",1:"Winter",2:"Winter",</w:t>
        <w:br/>
        <w:t xml:space="preserve">                                      3:"Spring",4:"Spring",5:"Spring",</w:t>
        <w:br/>
        <w:t xml:space="preserve">                                      6:"Summer",7:"Summer",8:"Summer",</w:t>
        <w:br/>
        <w:t xml:space="preserve">                                      9:"Fall",10:"Fall",11:"Fall"})</w:t>
        <w:br/>
        <w:t>df = df.drop_duplicates(subset=["ride_id"])</w:t>
        <w:br/>
        <w:t>df = df[df["ride_length"] &gt; 0]</w:t>
        <w:br/>
        <w:t>df = df[df["ride_length"] &lt;= 1440]</w:t>
        <w:br/>
        <w:t>mask_hq = (df["start_station_name"].str.contains("HQ QR|DIVVY|TEST", case=False, na=False) |</w:t>
        <w:br/>
        <w:t xml:space="preserve">           df["end_station_name"].str.contains("HQ QR|DIVVY|TEST", case=False, na=False))</w:t>
        <w:br/>
        <w:t>df = df[~mask_hq]</w:t>
      </w:r>
    </w:p>
    <w:p>
      <w:pPr>
        <w:spacing w:before="160"/>
      </w:pPr>
      <w:r>
        <w:rPr>
          <w:b/>
          <w:color w:val="1A73E8"/>
          <w:sz w:val="18"/>
        </w:rPr>
        <w:t>B.3 — Analyse descriptive &amp; top 10 stations (03_analysis.py)</w:t>
      </w:r>
    </w:p>
    <w:p>
      <w:pPr>
        <w:spacing w:after="120"/>
        <w:ind w:left="283"/>
      </w:pPr>
      <w:r>
        <w:rPr>
          <w:rFonts w:ascii="Courier New" w:hAnsi="Courier New"/>
          <w:color w:val="202124"/>
          <w:sz w:val="15"/>
        </w:rPr>
        <w:t># scripts/03_analysis.py — Statistiques descriptives &amp; analyse clé</w:t>
        <w:br/>
        <w:t>desc = df.groupby("member_casual")["ride_length"].agg(</w:t>
        <w:br/>
        <w:t xml:space="preserve">    mean_ride_length="mean", median_ride_length="median",</w:t>
        <w:br/>
        <w:t xml:space="preserve">    max_ride_length="max", total_rides="count"</w:t>
        <w:br/>
        <w:t>).round(2).reset_index()</w:t>
        <w:br/>
        <w:br/>
        <w:t># Top 10 stations casual (cibles marketing)</w:t>
        <w:br/>
        <w:t>top10_casual = (df[(df["start_station_name"].notna()) &amp; (df["member_casual"]=="casual")]</w:t>
        <w:br/>
        <w:t xml:space="preserve">                .groupby("start_station_name").size().reset_index(name="total_rides")</w:t>
        <w:br/>
        <w:t xml:space="preserve">                .sort_values("total_rides", ascending=False)</w:t>
        <w:br/>
        <w:t xml:space="preserve">                .head(10).reset_index(drop=True))</w:t>
        <w:br/>
        <w:br/>
        <w:t># Pourcentage saisonnier</w:t>
        <w:br/>
        <w:t>seasonal = df.groupby(["member_casual","season"]).size().reset_index(name="total_rides")</w:t>
        <w:br/>
        <w:t>seasonal["pct"] = (seasonal["total_rides"] /</w:t>
        <w:br/>
        <w:t xml:space="preserve">                   seasonal.groupby("member_casual")["total_rides"].transform("sum") * 100).round(1)</w:t>
      </w:r>
    </w:p>
    <w:p>
      <w:r>
        <w:br w:type="page"/>
      </w:r>
    </w:p>
    <w:p>
      <w:pPr>
        <w:spacing w:before="280" w:after="80"/>
        <w:pBdr>
          <w:bottom w:val="single" w:sz="6" w:space="4" w:color="1A73E8"/>
        </w:pBdr>
      </w:pPr>
      <w:r>
        <w:rPr>
          <w:b/>
          <w:color w:val="1A73E8"/>
          <w:sz w:val="32"/>
        </w:rPr>
        <w:t xml:space="preserve">C.  </w:t>
      </w:r>
      <w:r>
        <w:rPr>
          <w:b/>
          <w:color w:val="202124"/>
          <w:sz w:val="32"/>
        </w:rPr>
        <w:t>Annexe — Sources de données &amp; Licence</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A73E8"/>
          </w:tcPr>
          <w:p>
            <w:pPr>
              <w:jc w:val="center"/>
            </w:pPr>
            <w:r>
              <w:rPr>
                <w:b/>
                <w:color w:val="FFFFFF"/>
                <w:sz w:val="18"/>
              </w:rPr>
              <w:t>Élément</w:t>
            </w:r>
          </w:p>
        </w:tc>
        <w:tc>
          <w:tcPr>
            <w:tcW w:type="dxa" w:w="7087"/>
            <w:shd w:val="clear" w:color="auto" w:fill="1A73E8"/>
          </w:tcPr>
          <w:p>
            <w:pPr>
              <w:jc w:val="center"/>
            </w:pPr>
            <w:r>
              <w:rPr>
                <w:b/>
                <w:color w:val="FFFFFF"/>
                <w:sz w:val="18"/>
              </w:rPr>
              <w:t>Détail</w:t>
            </w:r>
          </w:p>
        </w:tc>
      </w:tr>
      <w:tr>
        <w:tc>
          <w:tcPr>
            <w:tcW w:type="dxa" w:w="1984"/>
            <w:shd w:val="clear" w:color="auto" w:fill="F8F9FA"/>
          </w:tcPr>
          <w:p>
            <w:r>
              <w:rPr>
                <w:sz w:val="18"/>
              </w:rPr>
              <w:t>Source</w:t>
            </w:r>
          </w:p>
        </w:tc>
        <w:tc>
          <w:tcPr>
            <w:tcW w:type="dxa" w:w="7087"/>
            <w:shd w:val="clear" w:color="auto" w:fill="F8F9FA"/>
          </w:tcPr>
          <w:p>
            <w:r>
              <w:rPr>
                <w:sz w:val="18"/>
              </w:rPr>
              <w:t>Divvy Trip Data — Motivate International Inc.</w:t>
            </w:r>
          </w:p>
        </w:tc>
      </w:tr>
      <w:tr>
        <w:tc>
          <w:tcPr>
            <w:tcW w:type="dxa" w:w="1984"/>
          </w:tcPr>
          <w:p>
            <w:r>
              <w:rPr>
                <w:sz w:val="18"/>
              </w:rPr>
              <w:t>Licence</w:t>
            </w:r>
          </w:p>
        </w:tc>
        <w:tc>
          <w:tcPr>
            <w:tcW w:type="dxa" w:w="7087"/>
          </w:tcPr>
          <w:p>
            <w:r>
              <w:rPr>
                <w:sz w:val="18"/>
              </w:rPr>
              <w:t>Divvy Data License Agreement — usage public autorisé</w:t>
            </w:r>
          </w:p>
        </w:tc>
      </w:tr>
      <w:tr>
        <w:tc>
          <w:tcPr>
            <w:tcW w:type="dxa" w:w="1984"/>
            <w:shd w:val="clear" w:color="auto" w:fill="F8F9FA"/>
          </w:tcPr>
          <w:p>
            <w:r>
              <w:rPr>
                <w:sz w:val="18"/>
              </w:rPr>
              <w:t>Période</w:t>
            </w:r>
          </w:p>
        </w:tc>
        <w:tc>
          <w:tcPr>
            <w:tcW w:type="dxa" w:w="7087"/>
            <w:shd w:val="clear" w:color="auto" w:fill="F8F9FA"/>
          </w:tcPr>
          <w:p>
            <w:r>
              <w:rPr>
                <w:sz w:val="18"/>
              </w:rPr>
              <w:t>Janvier 2019 – Décembre 2020 (11 fichiers CSV)</w:t>
            </w:r>
          </w:p>
        </w:tc>
      </w:tr>
      <w:tr>
        <w:tc>
          <w:tcPr>
            <w:tcW w:type="dxa" w:w="1984"/>
          </w:tcPr>
          <w:p>
            <w:r>
              <w:rPr>
                <w:sz w:val="18"/>
              </w:rPr>
              <w:t>Volume</w:t>
            </w:r>
          </w:p>
        </w:tc>
        <w:tc>
          <w:tcPr>
            <w:tcW w:type="dxa" w:w="7087"/>
          </w:tcPr>
          <w:p>
            <w:r>
              <w:rPr>
                <w:sz w:val="18"/>
              </w:rPr>
              <w:t>3 906 752 trajets bruts → 3 885 439 après nettoyage</w:t>
            </w:r>
          </w:p>
        </w:tc>
      </w:tr>
      <w:tr>
        <w:tc>
          <w:tcPr>
            <w:tcW w:type="dxa" w:w="1984"/>
            <w:shd w:val="clear" w:color="auto" w:fill="F8F9FA"/>
          </w:tcPr>
          <w:p>
            <w:r>
              <w:rPr>
                <w:sz w:val="18"/>
              </w:rPr>
              <w:t>Anonymat</w:t>
            </w:r>
          </w:p>
        </w:tc>
        <w:tc>
          <w:tcPr>
            <w:tcW w:type="dxa" w:w="7087"/>
            <w:shd w:val="clear" w:color="auto" w:fill="F8F9FA"/>
          </w:tcPr>
          <w:p>
            <w:r>
              <w:rPr>
                <w:sz w:val="18"/>
              </w:rPr>
              <w:t>Aucune PII — données 100 % anonymisées</w:t>
            </w:r>
          </w:p>
        </w:tc>
      </w:tr>
      <w:tr>
        <w:tc>
          <w:tcPr>
            <w:tcW w:type="dxa" w:w="1984"/>
          </w:tcPr>
          <w:p>
            <w:r>
              <w:rPr>
                <w:sz w:val="18"/>
              </w:rPr>
              <w:t>Note</w:t>
            </w:r>
          </w:p>
        </w:tc>
        <w:tc>
          <w:tcPr>
            <w:tcW w:type="dxa" w:w="7087"/>
          </w:tcPr>
          <w:p>
            <w:r>
              <w:rPr>
                <w:sz w:val="18"/>
              </w:rPr>
              <w:t>Cyclistic est une entreprise fictive (Capstone Case Study 1, Google DA Certificate). Les données Divvy sont réelles et adaptées à des fins pédagogiques.</w:t>
            </w:r>
          </w:p>
        </w:tc>
      </w:tr>
    </w:tbl>
    <w:p>
      <w:pPr>
        <w:spacing w:after="80"/>
      </w:pPr>
    </w:p>
    <w:p>
      <w:pPr>
        <w:spacing w:after="60"/>
      </w:pPr>
      <w:r>
        <w:rPr>
          <w:b w:val="0"/>
          <w:i w:val="0"/>
          <w:color w:val="202124"/>
          <w:sz w:val="20"/>
        </w:rPr>
        <w:t>Livrables du projet :</w:t>
      </w:r>
    </w:p>
    <w:p>
      <w:pPr>
        <w:spacing w:after="40"/>
        <w:ind w:left="283"/>
      </w:pPr>
      <w:r>
        <w:rPr>
          <w:rFonts w:ascii="Courier New" w:hAnsi="Courier New"/>
          <w:sz w:val="17"/>
        </w:rPr>
        <w:t>scripts/02_cleaning.py      — Nettoyage &amp; consolidation (pandas)</w:t>
      </w:r>
    </w:p>
    <w:p>
      <w:pPr>
        <w:spacing w:after="40"/>
        <w:ind w:left="283"/>
      </w:pPr>
      <w:r>
        <w:rPr>
          <w:rFonts w:ascii="Courier New" w:hAnsi="Courier New"/>
          <w:sz w:val="17"/>
        </w:rPr>
        <w:t>scripts/03_analysis.py      — Analyse descriptive Python</w:t>
      </w:r>
    </w:p>
    <w:p>
      <w:pPr>
        <w:spacing w:after="40"/>
        <w:ind w:left="283"/>
      </w:pPr>
      <w:r>
        <w:rPr>
          <w:rFonts w:ascii="Courier New" w:hAnsi="Courier New"/>
          <w:sz w:val="17"/>
        </w:rPr>
        <w:t>scripts/03_queries.sql      — 12 requêtes SQL (PostgreSQL / BigQuery / DuckDB)</w:t>
      </w:r>
    </w:p>
    <w:p>
      <w:pPr>
        <w:spacing w:after="40"/>
        <w:ind w:left="283"/>
      </w:pPr>
      <w:r>
        <w:rPr>
          <w:rFonts w:ascii="Courier New" w:hAnsi="Courier New"/>
          <w:sz w:val="17"/>
        </w:rPr>
        <w:t>scripts/04_visualizations.py — 8 graphiques PNG (matplotlib / seaborn)</w:t>
      </w:r>
    </w:p>
    <w:p>
      <w:pPr>
        <w:spacing w:after="40"/>
        <w:ind w:left="283"/>
      </w:pPr>
      <w:r>
        <w:rPr>
          <w:rFonts w:ascii="Courier New" w:hAnsi="Courier New"/>
          <w:sz w:val="17"/>
        </w:rPr>
        <w:t>scripts/05_dashboard.py     — Dashboard interactif Plotly</w:t>
      </w:r>
    </w:p>
    <w:p>
      <w:pPr>
        <w:spacing w:after="40"/>
        <w:ind w:left="283"/>
      </w:pPr>
      <w:r>
        <w:rPr>
          <w:rFonts w:ascii="Courier New" w:hAnsi="Courier New"/>
          <w:sz w:val="17"/>
        </w:rPr>
        <w:t>scripts/06_tableau_export.py — Export CSV pour Tableau Public</w:t>
      </w:r>
    </w:p>
    <w:p>
      <w:pPr>
        <w:spacing w:after="40"/>
        <w:ind w:left="283"/>
      </w:pPr>
      <w:r>
        <w:rPr>
          <w:rFonts w:ascii="Courier New" w:hAnsi="Courier New"/>
          <w:sz w:val="17"/>
        </w:rPr>
        <w:t>05_dashboard.html           — Dashboard interactif (ouvrir dans un navigateur)</w:t>
      </w:r>
    </w:p>
    <w:p>
      <w:pPr>
        <w:spacing w:after="40"/>
        <w:ind w:left="283"/>
      </w:pPr>
      <w:r>
        <w:rPr>
          <w:rFonts w:ascii="Courier New" w:hAnsi="Courier New"/>
          <w:sz w:val="17"/>
        </w:rPr>
        <w:t>06_report.pdf               — Ce rapport en version PDF</w:t>
      </w:r>
    </w:p>
    <w:sectPr w:rsidR="00FC693F" w:rsidRPr="0006063C" w:rsidSect="00034616">
      <w:footerReference w:type="default" r:id="rId9"/>
      <w:pgSz w:w="12240" w:h="15840"/>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F6368"/>
        <w:sz w:val="16"/>
      </w:rPr>
      <w:t>Cyclistic Bike-Share  |  Sidi Mohamed ALLY  |  Google Data Analytics Certificate</w:t>
    </w:r>
    <w:r>
      <w:t xml:space="preserve">   </w:t>
    </w:r>
    <w:r>
      <w:rPr>
        <w:color w:val="5F6368"/>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www.credly.com/go/RarXbDJG"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