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Elite - Forensic Investigation [Network Security]</w:t>
      </w:r>
    </w:p>
    <w:p>
      <w:pPr>
        <w:pStyle w:val="Heading1"/>
      </w:pPr>
      <w:r>
        <w:t>1. Threat Classification</w:t>
      </w:r>
    </w:p>
    <w:p>
      <w:r>
        <w:t xml:space="preserve">WannaCry / WCry ransomworm | Broken Access Control (A01:2021) and Injection (A03:2021) </w:t>
        <w:br/>
        <w:br/>
        <w:t xml:space="preserve">Note: Although the primary vulnerability exploited is related to Broken Access Control due to the outdated SMBv1 protocol and the EternalBlue exploit, the injection of DoublePulsar shellcode and the dropping of malicious files also map to the Injection category. However, the most relevant category based on the initial exploitation vector is Broken Access Control. </w:t>
        <w:br/>
        <w:br/>
        <w:t>In the context of the MITRE ATT&amp;CK framework, this attack can be mapped to several tactics and techniques, including:</w:t>
        <w:br/>
        <w:t>- Lateral Movement (T1021)</w:t>
        <w:br/>
        <w:t>- Exploitation of Remote Services (T1210)</w:t>
        <w:br/>
        <w:t>- Execution (T1204)</w:t>
        <w:br/>
        <w:t>- Defense Evasion (T1112)</w:t>
        <w:br/>
        <w:t>- Command and Control (T1043)</w:t>
        <w:br/>
        <w:br/>
        <w:t xml:space="preserve">However, the question specifically asks for the OWASP category, which is why Broken Access Control and Injection are highlighted. </w:t>
        <w:br/>
        <w:br/>
        <w:t xml:space="preserve">It's also worth noting that while the attack primarily involves exploitation and lateral movement, the fact that it results in the execution of arbitrary code (the ransomware payload) means it could also be considered under the Injection category, as it involves injecting malicious code into the system. </w:t>
        <w:br/>
        <w:br/>
        <w:t>Given the specifics of the log provided, the attack name is clearly identified as WannaCry/WCry ransomworm, which is attributed to the DPRK Lazarus group. The OWASP category that best fits the initial exploitation vector (EternalBlue exploit of SMBv1) is Broken Access Control, but due to the nature of the payload and the actions taken post-exploitation, Injection is also a relevant category.</w:t>
      </w:r>
    </w:p>
    <w:p>
      <w:pPr>
        <w:pStyle w:val="Heading1"/>
      </w:pPr>
      <w:r>
        <w:t>2. OWASP Top 10 Mapping</w:t>
      </w:r>
    </w:p>
    <w:p>
      <w:r>
        <w:t>Category: OWASP Mapping Active</w:t>
      </w:r>
    </w:p>
    <w:p>
      <w:pPr>
        <w:pStyle w:val="Heading1"/>
      </w:pPr>
      <w:r>
        <w:t>3. Combat Action Log</w:t>
      </w:r>
    </w:p>
    <w:p>
      <w:r>
        <w:t>NEUTRALIZED/APPLIED: netsh advfirewall set allprofiles firewallpolicy blockinboundalways</w:t>
        <w:br/>
        <w:t>NEUTRALIZED/APPLIED: netsh advfirewall set allprofiles state on</w:t>
      </w:r>
    </w:p>
    <w:p>
      <w:pPr>
        <w:pStyle w:val="Heading1"/>
      </w:pPr>
      <w:r>
        <w:t>4. AI Forensic Reasoning</w:t>
      </w:r>
    </w:p>
    <w:p>
      <w:r>
        <w:t>**Forensic Summary: WannaCry/WCry Ransomworm Incident**</w:t>
        <w:br/>
        <w:br/>
        <w:t>The WannaCry/WCry ransomworm incident is a significant network security breach that exploited vulnerabilities in the SMBv1 protocol, leveraging the EternalBlue exploit to gain unauthorized access to systems. This initial exploitation vector maps to the OWASP category of Broken Access Control (A01:2021), as it involves exploiting outdated protocols and lack of access controls. The attack's primary objective was to spread laterally across the network, infecting systems and encrypting files, thereby demanding ransom in exchange for the decryption key. The use of the EternalBlue exploit and the subsequent injection of DoublePulsar shellcode and malicious files also relate to the Injection category (A03:2021), highlighting the complexity and multi-faceted nature of this attack.</w:t>
        <w:br/>
        <w:br/>
        <w:t>The attack's tactics, techniques, and procedures (TTPs) can be mapped to several categories within the MITRE ATT&amp;CK framework, including Lateral Movement (T1021), Exploitation of Remote Services (T1210), Execution (T1204), Defense Evasion (T1112), and Command and Control (T1043). However, focusing on the OWASP categories as requested, Broken Access Control and Injection are the most relevant. The exploitation of SMBv1 and the use of EternalBlue to gain access to systems without proper authorization fall under Broken Access Control. Meanwhile, the execution of arbitrary code, such as the ransomware payload and the use of tools like DoublePulsar, aligns with Injection. The combination of these categories underscores the severity and the sophisticated nature of the WannaCry/WCry ransomworm attack.</w:t>
        <w:br/>
        <w:br/>
        <w:t>The incident response and remediation efforts, as indicated by the provided log, include attempts to stop and disable the SMB service, reset file permissions, delete volume shadows, and perform system file checks and repairs. Commands such as "net stop smb", "sc config smb start= disabled", and "wmic service where \"name='smb'\" call stopservice" aim to halt the spread of the malware by disabling the vulnerable service. Additionally, commands like "vssadmin delete shadows /all /quiet" and "sfc /scannow" are used to remove potential backups that could be used by the malware and to scan for corrupted system files, respectively. The use of "dism /online /cleanup-image /restorehealth" and "netsh advfirewall set allprofiles state on" indicates efforts to restore system health and enable the firewall to block further malicious activity. These actions are critical in mitigating the attack's impact and preventing further exploitation. The OWASP mapping of Broken Access Control and Injection for this incident highlights the importance of maintaining up-to-date protocols, ensuring proper access controls, and being vigilant against code injection attacks to prevent similar incidents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