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Intelligence Report</w:t>
      </w:r>
    </w:p>
    <w:p>
      <w:pPr>
        <w:pStyle w:val="Heading1"/>
      </w:pPr>
      <w:r>
        <w:t>1. Threat Classification</w:t>
      </w:r>
    </w:p>
    <w:p>
      <w:r>
        <w:t>Threat Neutralized</w:t>
      </w:r>
    </w:p>
    <w:p>
      <w:pPr>
        <w:pStyle w:val="Heading1"/>
      </w:pPr>
      <w:r>
        <w:t>2. Active Combat Actions</w:t>
      </w:r>
    </w:p>
    <w:p>
      <w:r>
        <w:t>Monitoring Active: No destructive action required.</w:t>
      </w:r>
    </w:p>
    <w:p>
      <w:pPr>
        <w:pStyle w:val="Heading1"/>
      </w:pPr>
      <w:r>
        <w:t>3. AI Forensic Reasoning</w:t>
      </w:r>
    </w:p>
    <w:p>
      <w:r>
        <w:t>The forensic summary of the security incident involving unauthorized data exposure via anonymous access to an S3 bucket is a comprehensive analysis of the events that led to the exposure of sensitive customer data. The incident was identified through a combination of CloudTrail log analysis, GuardDuty findings, access log analysis, and the nature of the exposed data. The key elements that led to the identification of the attack type include the modification of the bucket's ACL, granting anonymous access to the bucket, and a significant spike in anonymous traffic. The exposure of highly sensitive customer data, including names, emails, and addresses, poses a significant risk to the individuals involved and is a serious breach of data protection regulations.</w:t>
        <w:br/>
        <w:br/>
        <w:t>The compliance implications of the incident are severe, with the breach flagged under the General Data Protection Regulation (GDPR) Article 32, which requires organizations to implement appropriate security measures to protect personal data. Additionally, it is noted as a control failure under SOC2 CC6.1, which pertains to the organization's control environment, including its risk assessment and infrastructure security controls. To address the incident, several steps can be taken, including revoking anonymous access, assessing the bucket's current permissions, and applying a more secure bucket policy. This can be achieved using AWS CLI commands, such as `aws s3api put-bucket-acl` to revoke anonymous access, `aws s3api get-bucket-policy` to assess the current bucket policy, and `aws s3api put-bucket-policy` to apply a new bucket policy. It is also essential to enable versioning and logging on the bucket to enhance security and monitoring.</w:t>
        <w:br/>
        <w:br/>
        <w:t>To prevent similar incidents in the future, it is crucial to conduct a thorough investigation into how the policy change occurred and to implement measures to prevent such incidents. This includes regularly monitoring CloudTrail logs for any changes to S3 bucket policies and ACLs, setting up automated alerts using CloudWatch Events, and ensuring that only authorized users can access the bucket. The application of a secure bucket policy, such as the one outlined in the `secure-bucket-policy.json` file, can help to deny anonymous access and ensure that only legitimate users can access the bucket. By taking these steps, organizations can strengthen their security posture and protect sensitive customer data from unauthorized exposure. The importance of strictly controlling access to sensitive data, regularly monitoring for policy changes, and promptly responding to potential security incidents cannot be overstated, and it is essential that organizations prioritize these measures to prevent similar incidents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