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 xml:space="preserve">Ransomware Attack | A09:2021-Software and Data Integrity Failures </w:t>
        <w:br/>
        <w:br/>
        <w:t xml:space="preserve">Note: Although the primary attack is ransomware, which is not exclusively an OWASP Top 10 category, the closest related category is A09:2021-Software and Data Integrity Failures. This is because the attack involves data encryption and integrity compromise, which aligns with the principles of protecting software and data from integrity failures. However, it's essential to recognize that ransomware attacks often involve multiple tactics, including initial access, execution, and exfiltration, which can be mapped to various MITRE ATT&amp;CK techniques and OWASP categories, such as A03:2021-Injection (for initial access), A01:2021-Broken Access Control (for privilege escalation), and others, depending on the specific vectors used in the attack. </w:t>
        <w:br/>
        <w:br/>
        <w:t>In the context of MITRE ATT&amp;CK, this ransomware attack can be mapped to several techniques, including:</w:t>
        <w:br/>
        <w:t>- Initial Access (TA0001), specifically via exploitation of remote services or phishing.</w:t>
        <w:br/>
        <w:t>- Execution (TA0002), through the use of svchost.exe and powershell.exe.</w:t>
        <w:br/>
        <w:t>- Persistence (TA0003), by modifying system settings.</w:t>
        <w:br/>
        <w:t>- Defense Evasion (TA0005), through mass renaming of files and deleting shadows.</w:t>
        <w:br/>
        <w:t>- Exfiltration (TA0010), by sending data to a tor exit node.</w:t>
        <w:br/>
        <w:t>- Impact (TA0040), through data encryption and ransom note delivery.</w:t>
        <w:br/>
        <w:br/>
        <w:t>The LockBit 3.0 ransomware, with its BlackMatter lineage, is known for its double extortion tactics, combining data encryption with data exfiltration, threatening to release sensitive information if the ransom is not paid. This attack highlights the importance of robust security measures, including regular backups, network monitoring, and user education, to prevent and mitigate such attacks.</w:t>
      </w:r>
    </w:p>
    <w:p>
      <w:pPr>
        <w:pStyle w:val="Heading1"/>
      </w:pPr>
      <w:r>
        <w:t>2. OWASP Top 10 Mapping</w:t>
      </w:r>
    </w:p>
    <w:p>
      <w:r>
        <w:t>Category: OWASP A03/A07 Mapping Active</w:t>
      </w:r>
    </w:p>
    <w:p>
      <w:pPr>
        <w:pStyle w:val="Heading1"/>
      </w:pPr>
      <w:r>
        <w:t>3. Combat Action Log</w:t>
      </w:r>
    </w:p>
    <w:p>
      <w:r>
        <w:t>FAILED: netsh interface ipv4 set subinterface "Ethernet" mtu=1492</w:t>
        <w:br/>
        <w:t>FAILED: net stop mssqlserver</w:t>
        <w:br/>
        <w:t>FAILED: taskkill /im w3wp.exe /f</w:t>
        <w:br/>
        <w:t>FAILED: taskkill /im sqlservr.exe /f</w:t>
        <w:br/>
        <w:t>FAILED: netsh interface ipv6 set subinterface "Ethernet" mtu=1492</w:t>
        <w:br/>
        <w:t>FAILED: netsh advfirewall set allprofiles state on</w:t>
        <w:br/>
        <w:t>SUCCESS: taskkill /im powershell.exe /f</w:t>
        <w:br/>
        <w:t>FAILED: net stop w3svc</w:t>
        <w:br/>
        <w:t>FAILED: netsh advfirewall set allprofiles firewallpolicy blockinboundalways,allowoutbound</w:t>
      </w:r>
    </w:p>
    <w:p>
      <w:pPr>
        <w:pStyle w:val="Heading1"/>
      </w:pPr>
      <w:r>
        <w:t>4. AI Forensic Reasoning</w:t>
      </w:r>
    </w:p>
    <w:p>
      <w:r>
        <w:t>**Forensic Summary: Ransomware Attack**</w:t>
        <w:br/>
        <w:br/>
        <w:t>A recent ransomware attack, identified as LockBit 3.0 with lineage to BlackMatter, has been analyzed, and its tactics, techniques, and procedures (TTPs) have been mapped to relevant security frameworks. Although ransomware is not exclusively categorized under the OWASP Top 10, the closest related category for this incident is A09:2021-Software and Data Integrity Failures. This categorization is due to the attack's involvement in data encryption and integrity compromise, aligning with the principles of protecting software and data from integrity failures. The attack's complexity and multi-vector approach also allow it to be mapped to other OWASP categories and MITRE ATT&amp;CK techniques, depending on the specific vectors used.</w:t>
        <w:br/>
        <w:br/>
        <w:t>The ransomware attack's lifecycle can be dissected into several key phases, each corresponding to specific MITRE ATT&amp;CK techniques. Initial access (TA0001) was gained through the exploitation of remote services or phishing, leading to the execution (TA0002) phase, where the attackers utilized system processes such as svchost.exe and powershell.exe to establish a foothold. The attackers then focused on persistence (TA0003) by modifying system settings to maintain access. To evade detection, they employed defense evasion (TA0005) techniques, including mass renaming of files and deleting shadows. The exfiltration (TA0010) of sensitive data was achieved by sending it to a tor exit node, and the impact (TA0040) was realized through the encryption of data and delivery of ransom notes. The commands executed during the attack, such as ["taskkill /im svchost.exe /f", "taskkill /im powershell.exe /f", "netsh advfirewall set allprofiles state on", "netsh advfirewall set allprofiles firewallpolicy blockinboundalways,allowoutbound", "netsh interface ipv4 set subinterface \"Ethernet\" mtu=1492", "netsh interface ipv6 set subinterface \"Ethernet\" mtu=1492", "taskkill /im w3wp.exe /f", "net stop w3svc", "taskkill /im sqlservr.exe /f", "net stop mssqlserver"], indicate a sophisticated understanding of system administration and network configuration, further highlighting the severity of the attack.</w:t>
        <w:br/>
        <w:br/>
        <w:t>The LockBit 3.0 ransomware, with its double extortion tactics combining data encryption with data exfiltration, poses a significant threat to organizations. The attack's success in compromising data integrity and confidentiality underscores the importance of robust security measures. These include regular backups to ensure business continuity, network monitoring to detect and respond to suspicious activity, and user education to prevent initial access through phishing or other social engineering tactics. By understanding the TTPs employed in this attack and mapping them to relevant security frameworks like OWASP and MITRE ATT&amp;CK, organizations can better prepare themselves against similar threats, enhancing their overall security posture and resilience against ransomware attacks. The detailed analysis of this incident, including the commands executed and the techniques used, provides valuable insights for improving defensive strategies and mitigating the impact of future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