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Threat Neutralized</w:t>
      </w:r>
    </w:p>
    <w:p>
      <w:pPr>
        <w:pStyle w:val="Heading1"/>
      </w:pPr>
      <w:r>
        <w:t>2. Combat Action Log</w:t>
      </w:r>
    </w:p>
    <w:p>
      <w:r>
        <w:t>Monitoring Active: No direct kill commands required.</w:t>
      </w:r>
    </w:p>
    <w:p>
      <w:pPr>
        <w:pStyle w:val="Heading1"/>
      </w:pPr>
      <w:r>
        <w:t>3. AI Forensic Reasoning</w:t>
      </w:r>
    </w:p>
    <w:p>
      <w:r>
        <w:t>**Incident Summary**</w:t>
        <w:br/>
        <w:t>A ransomware attack, specifically identified as LockBit 3.0, a double extortion ransomware variant, was detected and responded to. LockBit 3.0 is known for its ability to both encrypt files and exfiltrate data, posing a significant threat to data confidentiality, integrity, and availability. The attack's lineage to BlackMatter suggests a sophisticated and potentially highly damaging incident. The immediate response to the attack involved a series of command-line actions aimed at terminating the malicious processes and isolating the affected system to prevent further damage.</w:t>
        <w:br/>
        <w:br/>
        <w:t>**Actions Taken**</w:t>
        <w:br/>
        <w:t>To mitigate the attack, several commands were executed in rapid succession. The first set of commands utilized the `taskkill` utility to forcibly terminate processes associated with the ransomware. Specifically, `lockbit.exe`, `mshta.exe`, and `powershell.exe` were targeted, as these are commonly used by ransomware and other malicious actors to execute their payloads. Additionally, `cmd.exe` was terminated to prevent any potential command-line based attacks or further malicious activity. Following the termination of these processes, the Windows Firewall was enabled for all profiles using `netsh advfirewall`, and its policy was set to block all inbound traffic while allowing outbound traffic, aiming to prevent the attackers from exfiltrating data or establishing command and control channels.</w:t>
        <w:br/>
        <w:br/>
        <w:t>**Network Isolation and Forensic Preservation**</w:t>
        <w:br/>
        <w:t>Further actions were taken to isolate the system from the network and preserve potential forensic evidence. The system's Ethernet interface was configured to use a static IP address of `127.0.0.1` with a subnet mask of `255.0.0.0`, effectively isolating it from the network by assigning a loopback IP address. This step was crucial in preventing the ransomware from communicating with its command and control servers or exfiltrating sensitive data. The combination of terminating malicious processes, enabling firewall rules, and isolating the system from the network were critical in mitigating the immediate effects of the LockBit 3.0 ransomware attack. These actions were taken to protect sensitive data, prevent further compromise, and preserve the integrity of the system for further forensic analysis and incident response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