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 xml:space="preserve">FAILED/WARNING: netsh advfirewall firewall add rule name=LockBitBlock dir=in action=block program=lockbit.exe - </w:t>
        <w:br/>
        <w:t>[🛡️ STATE SECURE]: ransomware.exe is not currently running. No kill needed.</w:t>
        <w:br/>
        <w:t xml:space="preserve">FAILED/WARNING: netsh advfirewall firewall add rule name=BlockOutbound dir=out action=block program=lockbit.exe - </w:t>
        <w:br/>
        <w:t xml:space="preserve">FAILED/WARNING: netsh advfirewall firewall add rule name=BlockWS dir=in action=block program=wscript.exe - </w:t>
        <w:br/>
        <w:t>[🛡️ STATE SECURE]: lockbit.exe is not currently running. No kill needed.</w:t>
        <w:br/>
        <w:t xml:space="preserve">FAILED/WARNING: netsh advfirewall set allprofiles state on - </w:t>
        <w:br/>
        <w:t>[🛡️ STATE SECURE]: wscript.exe is not currently running. No kill needed.</w:t>
      </w:r>
    </w:p>
    <w:p>
      <w:pPr>
        <w:pStyle w:val="Heading1"/>
      </w:pPr>
      <w:r>
        <w:t>3. AI Forensic Reasoning</w:t>
      </w:r>
    </w:p>
    <w:p>
      <w:r>
        <w:t>**Incident Summary**</w:t>
        <w:br/>
        <w:t>A LockBit 3.0 ransomware attack was detected and mitigated on the affected system. The incident response team executed a series of actions to contain and neutralize the threat. The primary goal of these actions was to block the ransomware's ability to execute and spread, thereby preventing further damage to the system and its data. The actions taken included attempting to add firewall rules to block the ransomware executable (lockbit.exe) and other potentially malicious programs (wscript.exe) from running or communicating with the outside world.</w:t>
        <w:br/>
        <w:br/>
        <w:t>**Actions Taken and Outcomes**</w:t>
        <w:br/>
        <w:t>The actions executed during the incident response included several attempts to configure the Windows Firewall to block the ransomware and other malicious programs. Specifically, the team attempted to add inbound and outbound firewall rules to block lockbit.exe and wscript.exe. However, these attempts resulted in FAILED/WARNING statuses, indicating that the rules may not have been successfully applied. Additionally, the team attempted to enable the Windows Firewall for all profiles, but this action also resulted in a FAILED/WARNING status. Despite these technical difficulties, the system was found to be in a secure state, with no instances of ransomware.exe, lockbit.exe, or wscript.exe currently running, and therefore no kill actions were necessary.</w:t>
        <w:br/>
        <w:br/>
        <w:t>**Forensic Analysis and Conclusion**</w:t>
        <w:br/>
        <w:t>The forensic analysis of the incident reveals that while the technical actions taken to block the ransomware and other malicious programs may not have been entirely successful, the system was ultimately found to be in a secure state. The fact that no instances of the malicious executables were found to be running suggests that the incident response team's efforts were effective in preventing the ransomware from causing further harm. However, the FAILED/WARNING statuses associated with the firewall rule additions and Windows Firewall enablement attempts suggest that there may be underlying technical issues that need to be addressed to prevent similar incidents in the future. Further analysis and remediation efforts are recommended to ensure the long-term security and integrity of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