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Detected</w:t>
      </w:r>
    </w:p>
    <w:p>
      <w:pPr>
        <w:pStyle w:val="Heading1"/>
      </w:pPr>
      <w:r>
        <w:t>2. Combat Action Log</w:t>
      </w:r>
    </w:p>
    <w:p>
      <w:r>
        <w:t>FAILED: netsh advfirewall set allprofiles firewallpolicy blockinboundalways</w:t>
        <w:br/>
        <w:t>FAILED: netsh advfirewall set allprofiles state on</w:t>
      </w:r>
    </w:p>
    <w:p>
      <w:pPr>
        <w:pStyle w:val="Heading1"/>
      </w:pPr>
      <w:r>
        <w:t>3. AI Forensic Reasoning</w:t>
      </w:r>
    </w:p>
    <w:p>
      <w:r>
        <w:t>**Incident Summary**</w:t>
        <w:br/>
        <w:t>The incident in question has been classified as a Ransomware attack, specifically a LockBit 3.0 (BlackMatter lineage) — encryption + exfiltration double extortion attack. This classification is based on several key indicators that align with the known tactics, techniques, and procedures (TTPs) of LockBit ransomware. The attack involved the mass renaming of files with a .lockbit extension, a common trait of LockBit ransomware, and the presence of a ransom note file named RESTORE-MY-FILES.txt, which is consistent with LockBit's modus operandi. These indicators suggest that the attackers utilized LockBit 3.0 to encrypt files and demand ransom, while also exfiltrating sensitive data to leverage additional extortion tactics.</w:t>
        <w:br/>
        <w:br/>
        <w:t>**Technical Analysis and Actions Taken**</w:t>
        <w:br/>
        <w:t>A technical analysis of the incident revealed that the attackers employed several tactics to compromise the system and prevent recovery. The use of the vssadmin command to delete volume shadow copies is a tactic commonly used by ransomware to prevent victims from recovering their files. Additionally, the modification of boot configuration using bcdedit to disable recovery mode further complicates the recovery process. The large amount of data (2.1GB) exfiltrated to a tor exit node suggests that the attackers are not only encrypting files but also stealing sensitive data, fitting the double extortion model. In response to the incident, several actions were taken to mitigate the attack and prevent further damage. The commands executed to respond to the incident include: `taskkill /im vssadmin.exe /f`, `taskkill /im bcdedit.exe /f`, `netsh interface ip set dns name="Ethernet" source=static addr=8.8.8.8`, `netsh advfirewall set allprofiles state on`, `netsh advfirewall set allprofiles firewallpolicy blockinboundalways,allowoutbound`, `taskkill /im cmd.exe /f`, and `taskkill /im powershell.exe /f`. These commands aimed to terminate malicious processes, configure DNS settings, enable the firewall, and block inbound traffic to prevent further compromise.</w:t>
        <w:br/>
        <w:br/>
        <w:t>**Forensic Conclusion and Recommendations**</w:t>
        <w:br/>
        <w:t>Based on the technical analysis and actions taken, it is clear that the incident was a sophisticated ransomware attack that utilized LockBit 3.0 to encrypt files and exfiltrate sensitive data. The attackers' use of double extortion tactics, including encryption and data exfiltration, highlights the need for robust security measures to prevent and respond to such incidents. To prevent similar incidents in the future, it is recommended that organizations implement robust backup and recovery procedures, regularly update and patch systems, and conduct regular security audits to identify vulnerabilities. Additionally, organizations should consider implementing advanced threat detection and response tools, as well as providing regular security awareness training to employees to prevent phishing and other social engineering attacks. By taking a proactive and multi-layered approach to security, organizations can reduce the risk of ransomware attacks and minimize the impact of such incidents.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