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Incident Summary Detected</w:t>
      </w:r>
    </w:p>
    <w:p>
      <w:pPr>
        <w:pStyle w:val="Heading1"/>
      </w:pPr>
      <w:r>
        <w:t>2. Combat Action Log</w:t>
      </w:r>
    </w:p>
    <w:p>
      <w:r>
        <w:t>Monitoring Active: No direct kill commands required.</w:t>
      </w:r>
    </w:p>
    <w:p>
      <w:pPr>
        <w:pStyle w:val="Heading1"/>
      </w:pPr>
      <w:r>
        <w:t>3. AI Forensic Reasoning</w:t>
      </w:r>
    </w:p>
    <w:p>
      <w:r>
        <w:t>**Incident Summary**</w:t>
        <w:br/>
        <w:t>A Prompt Injection Attack was identified, posing a significant threat to the security and integrity of the system. The attack involved a series of malicious commands aimed at compromising the network configuration and disrupting web services. The commands were executed in a sequence, starting with the activation of the Windows Firewall and the implementation of a restrictive firewall policy. This was followed by the modification of the IPv4 subnet configuration, which could have potentially led to network connectivity issues. The attack also targeted web server processes, including w3wp.exe, httpd.exe, nginx.exe, and apache2.exe, in an attempt to terminate these services and disrupt web-based applications.</w:t>
        <w:br/>
        <w:br/>
        <w:t>**Actions Taken**</w:t>
        <w:br/>
        <w:t>In response to the Prompt Injection Attack, a series of remediation steps were taken to mitigate the damage and restore system security. The first step involved terminating the malicious web server processes using the taskkill command, which helped to prevent further exploitation. The netsh commands were then used to delete URL ACLs (Access Control Lists) for HTTP and HTTPS, which could have been used by the attackers to gain unauthorized access to the system. Additionally, the netsh int ipv4 reset and netsh winsock reset commands were executed to reset the IPv4 stack and Winsock configuration to their default settings, respectively. These actions helped to restore the system's network configuration to a known good state and prevent any further malicious activity.</w:t>
        <w:br/>
        <w:br/>
        <w:t>**Forensic Analysis and Recommendations**</w:t>
        <w:br/>
        <w:t>The forensic analysis of the Prompt Injection Attack revealed a sophisticated and targeted attack, highlighting the importance of robust security measures and continuous monitoring. The use of netsh commands to modify the system's network configuration and terminate web server processes demonstrates a high level of knowledge and intent by the attackers. To prevent similar attacks in the future, it is recommended that the system's security posture be reviewed and updated to include additional controls, such as intrusion detection and prevention systems, as well as regular security audits and penetration testing. Furthermore, the implementation of a robust incident response plan will help to ensure that future attacks are detected and responded to in a timely and effective manner, minimizing the potential impact on the system and its users. The incident highlights the need for ongoing vigilance and proactive measures to protect against emerging threats and sophisticated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