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Ransomware Attack Detected</w:t>
      </w:r>
    </w:p>
    <w:p>
      <w:pPr>
        <w:pStyle w:val="Heading1"/>
      </w:pPr>
      <w:r>
        <w:t>2. Combat Action Log</w:t>
      </w:r>
    </w:p>
    <w:p>
      <w:r>
        <w:t>Monitoring Active: No direct kill commands required.</w:t>
      </w:r>
    </w:p>
    <w:p>
      <w:pPr>
        <w:pStyle w:val="Heading1"/>
      </w:pPr>
      <w:r>
        <w:t>3. AI Forensic Reasoning</w:t>
      </w:r>
    </w:p>
    <w:p>
      <w:r>
        <w:t>**Incident Summary**</w:t>
        <w:br/>
        <w:t>A ransomware attack was detected and responded to with immediate action to mitigate further damage. The attack involved the execution of malicious software, identified as "ransomware.exe", which posed a significant threat to the security and integrity of the system. In response to the incident, a series of commands were executed to terminate the malicious process, reinforce the system's firewall configuration, and block potential avenues for the ransomware to communicate with its command and control servers.</w:t>
        <w:br/>
        <w:br/>
        <w:t>**Actions Taken**</w:t>
        <w:br/>
        <w:t>To contain and eradicate the threat, several steps were taken. Firstly, the "taskkill" command was used to forcibly terminate the "ransomware.exe" process, effectively stopping the malware's execution. Additionally, the Windows Firewall was enabled and configured to block all inbound connections while allowing outbound traffic, significantly reducing the attack surface. Specific firewall rules were created to block any incoming or outgoing traffic associated with the ransomware, as well as rules to block the Windows Script Host ("wscript.exe" and "cscript.exe") to prevent potential script-based attacks. Furthermore, a rule was added to block outgoing UDP traffic on port 53, which is commonly used for DNS communications, to prevent the ransomware from resolving and communicating with its command and control servers.</w:t>
        <w:br/>
        <w:br/>
        <w:t>**Forensic Analysis and Recommendations**</w:t>
        <w:br/>
        <w:t>The actions taken were effective in mitigating the immediate threat posed by the ransomware attack. However, a comprehensive forensic analysis is recommended to identify the root cause of the incident, including the initial infection vector and any potential vulnerabilities that may have been exploited. This analysis should include a thorough examination of system logs, network traffic captures, and malware artifacts to gain a deeper understanding of the attack. Based on the findings, recommendations can be made to enhance the system's security posture, including the implementation of additional security controls, patch management, and employee training to prevent similar incidents in the future. The incident highlights the importance of proactive security measures and rapid response capabilities in minimizing the impact of cyber attacks.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