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3.0 Ransomware Attack</w:t>
      </w:r>
    </w:p>
    <w:p>
      <w:pPr>
        <w:pStyle w:val="Heading1"/>
      </w:pPr>
      <w:r>
        <w:t>2. Combat Action Log</w:t>
      </w:r>
    </w:p>
    <w:p>
      <w:r>
        <w:t>Monitoring Active: System remains in optimal baseline state.</w:t>
      </w:r>
    </w:p>
    <w:p>
      <w:pPr>
        <w:pStyle w:val="Heading1"/>
      </w:pPr>
      <w:r>
        <w:t>3. AI Forensic Reasoning</w:t>
      </w:r>
    </w:p>
    <w:p>
      <w:r>
        <w:t>**Incident Summary**</w:t>
        <w:br/>
        <w:t>A LockBit 3.0 ransomware attack was detected and responded to in a timely manner to minimize potential damage. The attack involved the execution of malicious executables, including lockbit.exe, which were identified as the primary threat vectors. To mitigate the attack, immediate action was taken to terminate the malicious processes and prevent further communication with command and control (C2) servers. The incident response team utilized Windows built-in tools, such as the Taskkill utility and Netsh firewall configuration, to neutralize the threat and prevent lateral movement within the network.</w:t>
        <w:br/>
        <w:br/>
        <w:t>**Actions Taken**</w:t>
        <w:br/>
        <w:t>To contain and eradicate the threat, several actions were taken. Firstly, the Taskkill utility was used to forcibly terminate the lockbit.exe, mshta.exe, wscript.exe, and cscript.exe processes, which were identified as being associated with the ransomware attack. Additionally, Netsh firewall rules were created to block inbound and outbound traffic related to the lockbit.exe executable, which was located in the C:\Windows\Temp directory. Specifically, two firewall rules named "Block LockBit" were added, one for inbound and one for outbound traffic, to prevent the malware from communicating with external C2 servers. Furthermore, two additional firewall rules named "Block LockBit DNS" were created to block outbound TCP and UDP traffic on local port 53, which is commonly used for DNS communication, to prevent the malware from resolving and communicating with external domains.</w:t>
        <w:br/>
        <w:br/>
        <w:t>**Post-Incident Measures**</w:t>
        <w:br/>
        <w:t>The actions taken to respond to the LockBit 3.0 ransomware attack were effective in preventing further damage and minimizing the impact of the incident. The termination of malicious processes and blocking of associated network traffic prevented the attackers from achieving their objectives, such as encrypting sensitive data and demanding a ransom. The creation of Netsh firewall rules provides an additional layer of protection against similar attacks in the future. The incident highlights the importance of having a robust incident response plan in place, which includes the use of Windows built-in tools and utilities to quickly respond to and contain security threats. The measures taken during this incident will be reviewed and incorporated into the organization's overall security strategy to improve its defenses against ransomware and other types of cyber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