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Monitoring Active: System remains in optimal baseline state.</w:t>
      </w:r>
    </w:p>
    <w:p>
      <w:pPr>
        <w:pStyle w:val="Heading1"/>
      </w:pPr>
      <w:r>
        <w:t>3. AI Forensic Reasoning</w:t>
      </w:r>
    </w:p>
    <w:p>
      <w:r>
        <w:t>**Incident Summary**</w:t>
        <w:br/>
        <w:t>A LockBit 3.0 ransomware attack was reported, prompting an immediate response to contain and mitigate the threat. The attack involved the execution of malicious code, specifically targeting system vulnerabilities to gain unauthorized access and encrypt sensitive data. The primary goal of the response efforts was to quickly isolate the affected systems, prevent further damage, and block the ransomware's communication channels to command and control (C2) servers.</w:t>
        <w:br/>
        <w:br/>
        <w:t>**Actions Taken**</w:t>
        <w:br/>
        <w:t>To address the LockBit 3.0 ransomware attack, a series of technical actions were undertaken. Initially, the Windows Defender Firewall was enabled for all profiles using the command "netsh advfirewall set allprofiles state on" to establish a baseline level of network protection. Subsequent actions focused on terminating the malicious processes associated with the ransomware. The commands "taskkill /im lockbit.exe /f" and "taskkill /im dllhost.exe /f" were executed to forcibly stop the LockBit executable and any related dllhost.exe processes that might be involved in the attack. Additionally, firewall rules were created to block inbound and outbound traffic for both lockbit.exe and dllhost.exe using the "netsh advfirewall firewall add rule" command, effectively preventing these programs from communicating with potential C2 servers or spreading laterally within the network.</w:t>
        <w:br/>
        <w:br/>
        <w:t>**Mitigation and Containment**</w:t>
        <w:br/>
        <w:t>The technical actions described were aimed at mitigating the immediate effects of the LockBit 3.0 ransomware attack and containing the threat to prevent further propagation. By enabling the Windows Defender Firewall and creating specific block rules for the malicious executables, the response efforts sought to disrupt the attack's lifecycle, particularly the stages involving data encryption and exfiltration. The termination of the lockbit.exe and dllhost.exe processes was critical in stopping the active encryption process and minimizing the amount of data compromised. These measures, while focused on immediate containment, are part of a broader incident response strategy that includes post-incident activities such as system restoration, data recovery (where possible), and enhancing security controls to prevent similar attacks in the future. The detailed forensic analysis of the incident will continue to inform these efforts, ensuring a comprehensive response to the LockBit 3.0 ransomware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