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FAILED: taskkill /im lockbit3.exe /f</w:t>
        <w:br/>
        <w:t>SUCCESS: netsh advfirewall set allprofiles state on</w:t>
        <w:br/>
        <w:t>SUCCESS: netsh advfirewall firewall add rule name=LockBitBlock dir=out action=block program=lockbit.exe</w:t>
        <w:br/>
        <w:t>FAILED: taskkill /im ransomware.exe /f</w:t>
        <w:br/>
        <w:t>SUCCESS: netsh advfirewall firewall add rule name=LockBitBlock dir=in action=block program=lockbit.exe</w:t>
        <w:br/>
        <w:t>FAILED: taskkill /im lockbit.exe /f</w:t>
        <w:br/>
        <w:t>SUCCESS: netsh advfirewall firewall add rule name=BlockOutbound dir=out action=block program=lockbit.exe</w:t>
      </w:r>
    </w:p>
    <w:p>
      <w:pPr>
        <w:pStyle w:val="Heading1"/>
      </w:pPr>
      <w:r>
        <w:t>3. AI Forensic Reasoning</w:t>
      </w:r>
    </w:p>
    <w:p>
      <w:r>
        <w:t>**Incident Summary**</w:t>
        <w:br/>
        <w:t>A LockBit 3.0 ransomware attack was detected and responded to, with various actions taken to mitigate the threat. The initial response involved attempting to terminate the malicious processes using the taskkill command. However, these attempts were unsuccessful, as evidenced by the failed execution of the commands "taskkill /im lockbit3.exe /f", "taskkill /im ransomware.exe /f", and "taskkill /im lockbit.exe /f". Despite these failures, the response team successfully activated the Windows Firewall using the command "netsh advfirewall set allprofiles state on", which provided an initial layer of protection against the ransomware.</w:t>
        <w:br/>
        <w:br/>
        <w:t>**Mitigation Actions**</w:t>
        <w:br/>
        <w:t>To further mitigate the attack, the response team successfully created firewall rules to block outgoing and incoming traffic associated with the LockBit ransomware. The commands "netsh advfirewall firewall add rule name=LockBitBlock dir=out action=block program=lockbit.exe" and "netsh advfirewall firewall add rule name=LockBitBlock dir=in action=block program=lockbit.exe" were executed, which blocked the ransomware's ability to communicate with its command and control servers. An additional rule, "netsh advfirewall firewall add rule name=BlockOutbound dir=out action=block program=lockbit.exe", was also created to block any outbound traffic from the ransomware. These actions were successful in limiting the spread of the malware and preventing further damage.</w:t>
        <w:br/>
        <w:br/>
        <w:t>**Forensic Analysis and Recommendations**</w:t>
        <w:br/>
        <w:t>The forensic analysis of the incident reveals that the LockBit 3.0 ransomware attack was a significant threat to the organization's security. The unsuccessful attempts to terminate the malicious processes using the taskkill command highlight the need for more effective endpoint detection and response tools. The successful creation of firewall rules to block the ransomware's traffic demonstrates the importance of having a robust network security posture. It is recommended that the organization conducts a thorough review of its security controls, including endpoint detection and response, network security, and backup and disaster recovery procedures. Additionally, the organization should consider implementing advanced threat protection solutions, such as behavioral-based detection and response tools, to improve its ability to detect and respond to similar incidents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