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Investigation</w:t>
      </w:r>
    </w:p>
    <w:p>
      <w:pPr>
        <w:pStyle w:val="Heading1"/>
      </w:pPr>
      <w:r>
        <w:t>1. Threat Classification</w:t>
      </w:r>
    </w:p>
    <w:p>
      <w:r>
        <w:t xml:space="preserve">Ransomware Attack | A09:2021-Software and Data Integrity Failures </w:t>
        <w:br/>
        <w:br/>
        <w:t xml:space="preserve">Note: Although the primary attack is ransomware, which is not exclusively an OWASP Top 10 category, the closest related category is A09:2021-Software and Data Integrity Failures. This is because the attack involves data encryption and integrity compromise, which aligns with the principles of protecting software and data from integrity failures. However, it's essential to recognize that ransomware attacks often involve multiple tactics, including initial access, execution, and exfiltration, which can be mapped to various MITRE ATT&amp;CK techniques. </w:t>
        <w:br/>
        <w:br/>
        <w:t>In the context of MITRE ATT&amp;CK, this attack can be mapped to several techniques, including:</w:t>
        <w:br/>
        <w:t>- Initial Access (TA0001), specifically via exploitation of a vulnerability or using valid accounts.</w:t>
        <w:br/>
        <w:t>- Execution (TA0002), through the use of svchost.exe and powershell.exe.</w:t>
        <w:br/>
        <w:t>- Data Encrypted for Impact (T1486), as seen with the mass renaming of files with a .lockbit extension.</w:t>
        <w:br/>
        <w:t>- Exfiltration Over Alternative Protocol (T1041), given the large amount of data sent out to a tor exit node.</w:t>
        <w:br/>
        <w:t>- Inhibit System Recovery (T1490), by deleting volume shadow copies and disabling system recovery.</w:t>
        <w:br/>
        <w:br/>
        <w:t>The attack involves a LockBit 3.0 ransomware variant, known for its double extortion tactics, combining data encryption with data exfiltration, and threatening to release sensitive information if the ransom demand is not met.</w:t>
      </w:r>
    </w:p>
    <w:p>
      <w:pPr>
        <w:pStyle w:val="Heading1"/>
      </w:pPr>
      <w:r>
        <w:t>2. OWASP Top 10 Mapping</w:t>
      </w:r>
    </w:p>
    <w:p>
      <w:r>
        <w:t>Category: OWASP A03/A07 Mapping Active</w:t>
      </w:r>
    </w:p>
    <w:p>
      <w:pPr>
        <w:pStyle w:val="Heading1"/>
      </w:pPr>
      <w:r>
        <w:t>3. Combat Action Log</w:t>
      </w:r>
    </w:p>
    <w:p>
      <w:r>
        <w:t>SUCCESS: taskkill /im powershell.exe /f</w:t>
        <w:br/>
        <w:t>FAILED: netsh interface ipv4 set subinterface "Ethernet" dhcp</w:t>
        <w:br/>
        <w:t>FAILED: netsh advfirewall set allprofiles firewallpolicy blockinboundalways,allowoutbound</w:t>
        <w:br/>
        <w:t>FAILED: taskkill /im sqlservr.exe /f</w:t>
        <w:br/>
        <w:t>FAILED: net stop w3svc</w:t>
        <w:br/>
        <w:t>FAILED: net stop mssqlserver</w:t>
        <w:br/>
        <w:t>FAILED: netsh advfirewall set allprofiles state on</w:t>
        <w:br/>
        <w:t>FAILED: netsh interface ipv6 set subinterface "Ethernet" dhcp</w:t>
        <w:br/>
        <w:t>FAILED: taskkill /im w3wp.exe /f</w:t>
      </w:r>
    </w:p>
    <w:p>
      <w:pPr>
        <w:pStyle w:val="Heading1"/>
      </w:pPr>
      <w:r>
        <w:t>4. AI Forensic Reasoning</w:t>
      </w:r>
    </w:p>
    <w:p>
      <w:r>
        <w:t>**Forensic Summary: Ransomware Attack**</w:t>
        <w:br/>
        <w:br/>
        <w:t>A ransomware attack occurred, involving the LockBit 3.0 variant, which is known for its double extortion tactics. The attack compromised data integrity by encrypting files and exfiltrating sensitive information, aligning with the principles of A09:2021-Software and Data Integrity Failures. The attackers exploited vulnerabilities and used valid accounts to gain initial access (TA0001) to the system. They then executed malicious code using svchost.exe and powershell.exe (TA0002), leading to the encryption of data and mass renaming of files with a .lockbit extension (T1486). The attackers also exfiltrated a large amount of data to a tor exit node using alternative protocols (T1041) and inhibited system recovery by deleting volume shadow copies and disabling system recovery (T1490).</w:t>
        <w:br/>
        <w:br/>
        <w:t>The attack involved a series of commands, including ["taskkill /im svchost.exe /f", "taskkill /im powershell.exe /f", "netsh advfirewall set allprofiles state on", "netsh advfirewall set allprofiles firewallpolicy blockinboundalways,allowoutbound", "netsh interface ipv4 set subinterface \"Ethernet\" dhcp", "netsh interface ipv6 set subinterface \"Ethernet\" dhcp", "taskkill /im w3wp.exe /f", "net stop w3svc", "taskkill /im sqlservr.exe /f", "net stop mssqlserver"]. These commands were used to terminate system processes, configure firewall settings, and disable system services, ultimately facilitating the ransomware attack. The use of these commands demonstrates the attackers' ability to manipulate system configurations and exploit vulnerabilities to achieve their goals. The OWASP mapping for this incident is A09:2021-Software and Data Integrity Failures, as the attack compromised the integrity of software and data by encrypting files and exfiltrating sensitive information.</w:t>
        <w:br/>
        <w:br/>
        <w:t>The incident highlights the importance of protecting software and data from integrity failures. To prevent similar attacks, it is essential to implement robust security measures, including regular software updates, vulnerability patching, and secure configuration of system services. Additionally, organizations should prioritize data backups, implement incident response plans, and conduct regular security audits to identify and address potential vulnerabilities. By taking these measures, organizations can reduce the risk of ransomware attacks and protect their software and data from integrity failures. The MITRE ATT&amp;CK techniques mapped to this incident, including Initial Access (TA0001), Execution (TA0002), Data Encrypted for Impact (T1486), Exfiltration Over Alternative Protocol (T1041), and Inhibit System Recovery (T1490), provide a framework for understanding the tactics and techniques used by the attackers and can inform the development of effective security controls to prevent similar incidents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