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 xml:space="preserve">Ransomware Attack | A09:2021-Software and Data Integrity Failures </w:t>
        <w:br/>
        <w:br/>
        <w:t xml:space="preserve">Note: Although the primary attack is ransomware, which is not exclusively an OWASP Top 10 category, the closest related category is A09:2021-Software and Data Integrity Failures. This is because the attack involves data encryption and integrity compromise, which aligns with the principles of protecting software and data from integrity failures. However, it's essential to recognize that ransomware attacks often involve multiple tactics, including initial access, execution, and exfiltration, which can be mapped to various MITRE ATT&amp;CK techniques. </w:t>
        <w:br/>
        <w:br/>
        <w:t>In the context of MITRE ATT&amp;CK, this attack can be mapped to several techniques, including:</w:t>
        <w:br/>
        <w:t>- Initial Access (TA0001), specifically via the use of PowerShell.</w:t>
        <w:br/>
        <w:t>- Execution (TA0002), through the execution of commands like vssadmin and bcdedit.</w:t>
        <w:br/>
        <w:t>- Data Encrypted for Impact (T1486), as seen with the mass renaming of files with the .lockbit extension.</w:t>
        <w:br/>
        <w:t>- Exfiltration Over Alternative Protocol (T1041), given the communication with a Tor exit node.</w:t>
        <w:br/>
        <w:t>- Impact (TA0022), through the encryption of data and the demand for ransom.</w:t>
        <w:br/>
        <w:br/>
        <w:t>The attack name is identified as a Ransomware Attack, specifically LockBit 3.0, which is known for its encryption and exfiltration double extortion tactics.</w:t>
      </w:r>
    </w:p>
    <w:p>
      <w:pPr>
        <w:pStyle w:val="Heading1"/>
      </w:pPr>
      <w:r>
        <w:t>2. OWASP Top 10 Mapping</w:t>
      </w:r>
    </w:p>
    <w:p>
      <w:r>
        <w:t>Category: OWASP A03/A07 Mapping Active</w:t>
      </w:r>
    </w:p>
    <w:p>
      <w:pPr>
        <w:pStyle w:val="Heading1"/>
      </w:pPr>
      <w:r>
        <w:t>3. Combat Action Log</w:t>
      </w:r>
    </w:p>
    <w:p>
      <w:r>
        <w:t>FAILED: taskkill /im bcdedit.exe /f</w:t>
        <w:br/>
        <w:t>FAILED: taskkill /im w3wp.exe /f</w:t>
        <w:br/>
        <w:t>FAILED: taskkill /im sqlservr.exe /f</w:t>
        <w:br/>
        <w:t>FAILED: netsh advfirewall set allprofiles state off</w:t>
        <w:br/>
        <w:t>SUCCESS: taskkill /im powershell.exe /f</w:t>
        <w:br/>
        <w:t>FAILED: net stop /y vss</w:t>
        <w:br/>
        <w:t>FAILED: netsh interface ip set dns name="Ethernet" source=static addr=8.8.8.8</w:t>
        <w:br/>
        <w:t>FAILED: netsh advfirewall reset</w:t>
        <w:br/>
        <w:t>FAILED: bcdedit /set {default} bootstatuspolicy ignoreallfailures</w:t>
      </w:r>
    </w:p>
    <w:p>
      <w:pPr>
        <w:pStyle w:val="Heading1"/>
      </w:pPr>
      <w:r>
        <w:t>4. AI Forensic Reasoning</w:t>
      </w:r>
    </w:p>
    <w:p>
      <w:r>
        <w:t>**Forensic Summary: Ransomware Attack - LockBit 3.0**</w:t>
        <w:br/>
        <w:br/>
        <w:t>A ransomware attack, identified as LockBit 3.0, was launched against our organization, resulting in significant data encryption and integrity compromise. This attack can be mapped to the OWASP Top 10 category A09:2021-Software and Data Integrity Failures, as it involves data encryption and integrity compromise. The attack exploited multiple vulnerabilities and used various tactics, techniques, and procedures (TTPs) to gain initial access, execute malicious commands, and exfiltrate data. The use of PowerShell for initial access, execution of commands like vssadmin and bcdedit, and data encryption with the .lockbit extension are all indicative of a sophisticated attack.</w:t>
        <w:br/>
        <w:br/>
        <w:t>The attack can be broken down into several key stages, each corresponding to specific MITRE ATT&amp;CK techniques. Initial access (TA0001) was gained via the use of PowerShell, which allowed the attackers to execute malicious commands. Execution (TA0002) occurred through the execution of commands like vssadmin and bcdedit, which were used to disable security features and prepare the system for encryption. Data was then encrypted for impact (T1486), resulting in the mass renaming of files with the .lockbit extension. Exfiltration over alternative protocol (T1041) was also observed, as the attackers communicated with a Tor exit node. Finally, the attack resulted in significant impact (TA0022), including the encryption of data and a demand for ransom. The commands used during the attack include "taskkill /im w3wp.exe /f", "taskkill /im sqlservr.exe /f", "netsh advfirewall set allprofiles state off", "netsh interface ip set dns name=\"Ethernet\" source=static addr=8.8.8.8", "taskkill /im powershell.exe /f", "net stop /y vss", "bcdedit /set {default} bootstatuspolicy ignoreallfailures", "taskkill /im bcdedit.exe /f", and "netsh advfirewall reset".</w:t>
        <w:br/>
        <w:br/>
        <w:t>The LockBit 3.0 ransomware attack highlights the importance of protecting software and data from integrity failures, as outlined in OWASP Top 10 category A09:2021. To prevent similar attacks in the future, it is essential to implement robust security measures, including regular software updates, secure configuration, and monitoring for suspicious activity. Additionally, incident response planning and regular backups can help minimize the impact of a ransomware attack. By understanding the TTPs used in this attack and implementing effective security controls, we can reduce the risk of similar attacks in the future and protect our organization's sensitive data. The OWASP mapping for this incident is A09:2021-Software and Data Integrity Failures, and the MITRE ATT&amp;CK techniques used include Initial Access (TA0001), Execution (TA0002), Data Encrypted for Impact (T1486), Exfiltration Over Alternative Protocol (T1041), and Impact (TA0022).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