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v9.9 -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SNT-DE2A36E7</w:t>
            </w:r>
          </w:p>
        </w:tc>
      </w:tr>
      <w:tr>
        <w:tc>
          <w:tcPr>
            <w:tcW w:type="dxa" w:w="4320"/>
          </w:tcPr>
          <w:p>
            <w:r>
              <w:t>Timestamp</w:t>
            </w:r>
          </w:p>
        </w:tc>
        <w:tc>
          <w:tcPr>
            <w:tcW w:type="dxa" w:w="4320"/>
          </w:tcPr>
          <w:p>
            <w:r>
              <w:t>2026-06-29 08:50:39</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NEUTRALIZED/APPLIED: taskkill /F /IM lockbit.exe"</w:t>
        <w:br/>
        <w:t>NEUTRALIZED/APPLIED: powershell Stop-Process -Name lockbit -Force"</w:t>
        <w:br/>
        <w:t>NEUTRALIZED/APPLIED: taskkill /F /IM blackmatter.exe"</w:t>
        <w:br/>
        <w:t>NEUTRALIZED/APPLIED: powershell Stop-Process -Name blackmatter -Force"</w:t>
      </w:r>
    </w:p>
    <w:p>
      <w:pPr>
        <w:pStyle w:val="Heading1"/>
      </w:pPr>
      <w:r>
        <w:t>3. AI Forensic Analysis</w:t>
      </w:r>
    </w:p>
    <w:p>
      <w:r>
        <w:t>The Endpoint Protection incident involved a ransomware attack utilizing LockBit 3.0, which has lineage tracing back to BlackMatter. This variant of ransomware is particularly dangerous as it employs a double extortion tactic, combining data encryption with exfiltration. The encryption aspect involves locking down the victim's data, making it inaccessible without the decryption key, which the attackers demand to be paid for. Simultaneously, the exfiltration component involves stealing sensitive data, which the attackers threaten to release publicly unless their demands are met, thereby exerting additional pressure on the victim to comply.</w:t>
        <w:br/>
        <w:br/>
        <w:t>The commands provided in the context suggest attempts to terminate the ransomware processes. These include using the Windows Task Manager command "taskkill" with the "/F" and "/IM" options to forcefully terminate processes named "lockbit.exe" and "blackmatter.exe". Additionally, there are commands utilizing Windows Management Instrumentation Command-line (WMIC) to delete processes with the same names, and PowerShell commands to stop processes named "lockbit" and "blackmatter" with the "-Force" option. These commands indicate a proactive approach to trying to halt the ransomware's execution and mitigate its impact by directly targeting and attempting to terminate the malicious processes.</w:t>
        <w:br/>
        <w:br/>
        <w:t>The forensic summary of this incident highlights the use of LockBit 3.0 ransomware with its dual extortion strategy, indicating a sophisticated and potentially highly damaging attack. The attempts to terminate the malicious processes using various command-line tools demonstrate efforts to contain and neutralize the threat. However, given the nature of LockBit 3.0 and its lineage from BlackMatter, it is crucial to conduct a thorough forensic analysis to understand the full scope of the incident, including how the ransomware was introduced into the system, what data was accessed or exfiltrated, and to identify any potential vulnerabilities that were exploited. This analysis will be essential for preventing similar incidents in the future and for complying with any legal or regulatory requirements related to data breaches and ransomware attacks.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