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HMoE Output-MoE Hardware Evaluation</w:t>
      </w:r>
    </w:p>
    <w:p>
      <w:pPr>
        <w:jc w:val="center"/>
      </w:pPr>
      <w:r>
        <w:rPr>
          <w:i/>
          <w:sz w:val="24"/>
        </w:rPr>
        <w:t>Run 9 Sequential Baseline vs Run 11 Parallel Baseline</w:t>
      </w:r>
    </w:p>
    <w:p>
      <w:pPr>
        <w:pStyle w:val="Heading1"/>
      </w:pPr>
      <w:r>
        <w:t>1. Objective</w:t>
      </w:r>
    </w:p>
    <w:p>
      <w:r>
        <w:t>This report evaluates an FPGA-oriented hardware implementation of the output Mixture-of-Experts (MoE) portion of the Hierarchical MoE (HMoE) design. Run 9 establishes a resource-sharing sequential baseline, while Run 11 evaluates two-way expert-level parallelism using duplicated expert engines and HLS DATAFLOW.</w:t>
      </w:r>
    </w:p>
    <w:p>
      <w:pPr>
        <w:pStyle w:val="Heading1"/>
      </w:pPr>
      <w:r>
        <w:t>2. Software Baseline</w:t>
      </w:r>
    </w:p>
    <w:p>
      <w:r>
        <w:t>The software reference was derived from the repository model implementation and trained checkpoint. The output-MoE uses a 128-dimensional h7 input, four experts, k=4 gating, and five PPA prediction objectives. Since k equals the number of experts, all four experts are selected and their outputs are combined using softmax gate weights.</w:t>
      </w:r>
    </w:p>
    <w:p>
      <w:r>
        <w:t>Each expert contains five independent MLP heads. Each head is 128 → 32 → 16 → 8 → 1, with ELU after the first three layers and a linear final layer. The software reference evaluates all four experts and performs a gate-weighted sum for each objective.</w:t>
      </w:r>
    </w:p>
    <w:p>
      <w:pPr>
        <w:pStyle w:val="Heading1"/>
      </w:pPr>
      <w:r>
        <w:t>3. Common Model Parameters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Parameter</w:t>
            </w:r>
          </w:p>
        </w:tc>
        <w:tc>
          <w:tcPr>
            <w:tcW w:type="dxa" w:w="4968"/>
          </w:tcPr>
          <w:p>
            <w:r>
              <w:rPr>
                <w:b/>
              </w:rPr>
              <w:t>Value</w:t>
            </w:r>
          </w:p>
        </w:tc>
      </w:tr>
      <w:tr>
        <w:tc>
          <w:tcPr>
            <w:tcW w:type="dxa" w:w="4968"/>
          </w:tcPr>
          <w:p>
            <w:r>
              <w:t>Input h7 dimension</w:t>
            </w:r>
          </w:p>
        </w:tc>
        <w:tc>
          <w:tcPr>
            <w:tcW w:type="dxa" w:w="4968"/>
          </w:tcPr>
          <w:p>
            <w:r>
              <w:t>128</w:t>
            </w:r>
          </w:p>
        </w:tc>
      </w:tr>
      <w:tr>
        <w:tc>
          <w:tcPr>
            <w:tcW w:type="dxa" w:w="4968"/>
          </w:tcPr>
          <w:p>
            <w:r>
              <w:t>Experts</w:t>
            </w:r>
          </w:p>
        </w:tc>
        <w:tc>
          <w:tcPr>
            <w:tcW w:type="dxa" w:w="4968"/>
          </w:tcPr>
          <w:p>
            <w:r>
              <w:t>4</w:t>
            </w:r>
          </w:p>
        </w:tc>
      </w:tr>
      <w:tr>
        <w:tc>
          <w:tcPr>
            <w:tcW w:type="dxa" w:w="4968"/>
          </w:tcPr>
          <w:p>
            <w:r>
              <w:t>MoE k</w:t>
            </w:r>
          </w:p>
        </w:tc>
        <w:tc>
          <w:tcPr>
            <w:tcW w:type="dxa" w:w="4968"/>
          </w:tcPr>
          <w:p>
            <w:r>
              <w:t>4</w:t>
            </w:r>
          </w:p>
        </w:tc>
      </w:tr>
      <w:tr>
        <w:tc>
          <w:tcPr>
            <w:tcW w:type="dxa" w:w="4968"/>
          </w:tcPr>
          <w:p>
            <w:r>
              <w:t>Objectives</w:t>
            </w:r>
          </w:p>
        </w:tc>
        <w:tc>
          <w:tcPr>
            <w:tcW w:type="dxa" w:w="4968"/>
          </w:tcPr>
          <w:p>
            <w:r>
              <w:t>5</w:t>
            </w:r>
          </w:p>
        </w:tc>
      </w:tr>
      <w:tr>
        <w:tc>
          <w:tcPr>
            <w:tcW w:type="dxa" w:w="4968"/>
          </w:tcPr>
          <w:p>
            <w:r>
              <w:t>MLP head</w:t>
            </w:r>
          </w:p>
        </w:tc>
        <w:tc>
          <w:tcPr>
            <w:tcW w:type="dxa" w:w="4968"/>
          </w:tcPr>
          <w:p>
            <w:r>
              <w:t>128 → 32 → 16 → 8 → 1</w:t>
            </w:r>
          </w:p>
        </w:tc>
      </w:tr>
      <w:tr>
        <w:tc>
          <w:tcPr>
            <w:tcW w:type="dxa" w:w="4968"/>
          </w:tcPr>
          <w:p>
            <w:r>
              <w:t>Activation</w:t>
            </w:r>
          </w:p>
        </w:tc>
        <w:tc>
          <w:tcPr>
            <w:tcW w:type="dxa" w:w="4968"/>
          </w:tcPr>
          <w:p>
            <w:r>
              <w:t>ELU after first 3 layers</w:t>
            </w:r>
          </w:p>
        </w:tc>
      </w:tr>
      <w:tr>
        <w:tc>
          <w:tcPr>
            <w:tcW w:type="dxa" w:w="4968"/>
          </w:tcPr>
          <w:p>
            <w:r>
              <w:t>Final layer</w:t>
            </w:r>
          </w:p>
        </w:tc>
        <w:tc>
          <w:tcPr>
            <w:tcW w:type="dxa" w:w="4968"/>
          </w:tcPr>
          <w:p>
            <w:r>
              <w:t>Linear</w:t>
            </w:r>
          </w:p>
        </w:tc>
      </w:tr>
      <w:tr>
        <w:tc>
          <w:tcPr>
            <w:tcW w:type="dxa" w:w="4968"/>
          </w:tcPr>
          <w:p>
            <w:r>
              <w:t>Objectives</w:t>
            </w:r>
          </w:p>
        </w:tc>
        <w:tc>
          <w:tcPr>
            <w:tcW w:type="dxa" w:w="4968"/>
          </w:tcPr>
          <w:p>
            <w:r>
              <w:t>perf, util-LUT, util-FF, util-DSP, util-BRAM</w:t>
            </w:r>
          </w:p>
        </w:tc>
      </w:tr>
      <w:tr>
        <w:tc>
          <w:tcPr>
            <w:tcW w:type="dxa" w:w="4968"/>
          </w:tcPr>
          <w:p>
            <w:r>
              <w:t>HLS target</w:t>
            </w:r>
          </w:p>
        </w:tc>
        <w:tc>
          <w:tcPr>
            <w:tcW w:type="dxa" w:w="4968"/>
          </w:tcPr>
          <w:p>
            <w:r>
              <w:t>xcvu13p_CIV-figd2104-3-e</w:t>
            </w:r>
          </w:p>
        </w:tc>
      </w:tr>
      <w:tr>
        <w:tc>
          <w:tcPr>
            <w:tcW w:type="dxa" w:w="4968"/>
          </w:tcPr>
          <w:p>
            <w:r>
              <w:t>Clock</w:t>
            </w:r>
          </w:p>
        </w:tc>
        <w:tc>
          <w:tcPr>
            <w:tcW w:type="dxa" w:w="4968"/>
          </w:tcPr>
          <w:p>
            <w:r>
              <w:t>10 ns / 100 MHz</w:t>
            </w:r>
          </w:p>
        </w:tc>
      </w:tr>
      <w:tr>
        <w:tc>
          <w:tcPr>
            <w:tcW w:type="dxa" w:w="4968"/>
          </w:tcPr>
          <w:p>
            <w:r>
              <w:t>Test samples</w:t>
            </w:r>
          </w:p>
        </w:tc>
        <w:tc>
          <w:tcPr>
            <w:tcW w:type="dxa" w:w="4968"/>
          </w:tcPr>
          <w:p>
            <w:r>
              <w:t>10</w:t>
            </w:r>
          </w:p>
        </w:tc>
      </w:tr>
    </w:tbl>
    <w:p/>
    <w:p>
      <w:pPr>
        <w:pStyle w:val="Heading1"/>
      </w:pPr>
      <w:r>
        <w:t>4. Run 9 — Sequential Hardware Baseline</w:t>
      </w:r>
    </w:p>
    <w:p>
      <w:r>
        <w:t>Run 9 uses one reusable expert engine. The four experts execute sequentially as E0 → E1 → E2 → E3. Within each expert, the five objective heads also execute sequentially. This emphasizes hardware resource sharing.</w:t>
      </w:r>
    </w:p>
    <w:p>
      <w:r>
        <w:t>The design therefore maps four logical experts onto one physical reusable computation engine, followed by gate-weighted accumulation.</w:t>
      </w:r>
    </w:p>
    <w:p>
      <w:pPr>
        <w:pStyle w:val="Heading1"/>
      </w:pPr>
      <w:r>
        <w:t>5. Run 11 — Parallel Hardware Baseline</w:t>
      </w:r>
    </w:p>
    <w:p>
      <w:r>
        <w:t>Run 11 keeps the same trained parameters and numerical algorithm as Run 9, but changes the hardware mapping. Engine A processes E0 → E2 and Engine B processes E1 → E3. HLS DATAFLOW allows the two engines to operate concurrently.</w:t>
      </w:r>
    </w:p>
    <w:p>
      <w:r>
        <w:t>Each engine still processes its assigned experts sequentially, and the five objective heads inside each expert remain sequential. Thus the added parallelism is expert-level, not objective-head-level.</w:t>
      </w:r>
    </w:p>
    <w:p>
      <w:r>
        <w:t>The engine outputs are remapped to E0, E1, E2, E3 before the final gate-weighted sum, so the algorithmic output calculation remains unchanged.</w:t>
      </w:r>
    </w:p>
    <w:p>
      <w:pPr>
        <w:pStyle w:val="Heading1"/>
      </w:pPr>
      <w:r>
        <w:t>6. Architecture Comparison</w:t>
      </w:r>
    </w:p>
    <w:p>
      <w:r>
        <w:t>The key difference is physical replication. Run 9 maps four logical experts onto one reusable engine. Run 11 maps them onto two engines, allowing two experts to be processed concurrently. No trained weights, biases, MLP dimensions, gate formulation, or final weighted-sum algorithm were changed.</w:t>
      </w:r>
    </w:p>
    <w:p>
      <w:pPr>
        <w:pStyle w:val="Heading1"/>
      </w:pPr>
      <w:r>
        <w:t>7. Functional Verification</w:t>
      </w:r>
    </w:p>
    <w:p>
      <w:r>
        <w:t>The HLS testbench reads 10 samples of the 128-dimensional h7 input, reference gate values, and reference output data. For each sample it calls output_moe(), checks all four gates and their sum, and prints all five objective outputs.</w:t>
      </w:r>
    </w:p>
    <w:p>
      <w:r>
        <w:t>The testbench is a verification wrapper; it does not implement the MoE algorithm. Expected values originate from the software reference/golden data. The tolerance is 1e-4.</w:t>
      </w:r>
    </w:p>
    <w:p>
      <w:r>
        <w:t>Run 9 corrected software/HLS comparison showed gate and objective differences within floating-point tolerance. Run 11 C simulation passed its functional checks, but retains a previously observed Sample 6 perf discrepancy as an explicitly ignored warning. This should be reported as a known limitation rather than hidden as a clean verification result.</w:t>
      </w:r>
    </w:p>
    <w:p>
      <w:pPr>
        <w:pStyle w:val="Heading1"/>
      </w:pPr>
      <w:r>
        <w:t>8. Synthesis and PPA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Metric</w:t>
            </w:r>
          </w:p>
        </w:tc>
        <w:tc>
          <w:tcPr>
            <w:tcW w:type="dxa" w:w="2484"/>
          </w:tcPr>
          <w:p>
            <w:r>
              <w:rPr>
                <w:b/>
              </w:rPr>
              <w:t>Run 9</w:t>
            </w:r>
          </w:p>
        </w:tc>
        <w:tc>
          <w:tcPr>
            <w:tcW w:type="dxa" w:w="2484"/>
          </w:tcPr>
          <w:p>
            <w:r>
              <w:rPr>
                <w:b/>
              </w:rPr>
              <w:t>Run 11</w:t>
            </w:r>
          </w:p>
        </w:tc>
        <w:tc>
          <w:tcPr>
            <w:tcW w:type="dxa" w:w="2484"/>
          </w:tcPr>
          <w:p>
            <w:r>
              <w:rPr>
                <w:b/>
              </w:rPr>
              <w:t>Change</w:t>
            </w:r>
          </w:p>
        </w:tc>
      </w:tr>
      <w:tr>
        <w:tc>
          <w:tcPr>
            <w:tcW w:type="dxa" w:w="2484"/>
          </w:tcPr>
          <w:p>
            <w:r>
              <w:t>Latency</w:t>
            </w:r>
          </w:p>
        </w:tc>
        <w:tc>
          <w:tcPr>
            <w:tcW w:type="dxa" w:w="2484"/>
          </w:tcPr>
          <w:p>
            <w:r>
              <w:t>94,685 cycles</w:t>
            </w:r>
          </w:p>
        </w:tc>
        <w:tc>
          <w:tcPr>
            <w:tcW w:type="dxa" w:w="2484"/>
          </w:tcPr>
          <w:p>
            <w:r>
              <w:t>46,379 cycles</w:t>
            </w:r>
          </w:p>
        </w:tc>
        <w:tc>
          <w:tcPr>
            <w:tcW w:type="dxa" w:w="2484"/>
          </w:tcPr>
          <w:p>
            <w:r>
              <w:t>−51.0%</w:t>
            </w:r>
          </w:p>
        </w:tc>
      </w:tr>
      <w:tr>
        <w:tc>
          <w:tcPr>
            <w:tcW w:type="dxa" w:w="2484"/>
          </w:tcPr>
          <w:p>
            <w:r>
              <w:t>Time @ 100 MHz</w:t>
            </w:r>
          </w:p>
        </w:tc>
        <w:tc>
          <w:tcPr>
            <w:tcW w:type="dxa" w:w="2484"/>
          </w:tcPr>
          <w:p>
            <w:r>
              <w:t>946.85 µs</w:t>
            </w:r>
          </w:p>
        </w:tc>
        <w:tc>
          <w:tcPr>
            <w:tcW w:type="dxa" w:w="2484"/>
          </w:tcPr>
          <w:p>
            <w:r>
              <w:t>463.79 µs</w:t>
            </w:r>
          </w:p>
        </w:tc>
        <w:tc>
          <w:tcPr>
            <w:tcW w:type="dxa" w:w="2484"/>
          </w:tcPr>
          <w:p>
            <w:r>
              <w:t>−51.0%</w:t>
            </w:r>
          </w:p>
        </w:tc>
      </w:tr>
      <w:tr>
        <w:tc>
          <w:tcPr>
            <w:tcW w:type="dxa" w:w="2484"/>
          </w:tcPr>
          <w:p>
            <w:r>
              <w:t>BRAM</w:t>
            </w:r>
          </w:p>
        </w:tc>
        <w:tc>
          <w:tcPr>
            <w:tcW w:type="dxa" w:w="2484"/>
          </w:tcPr>
          <w:p>
            <w:r>
              <w:t>181</w:t>
            </w:r>
          </w:p>
        </w:tc>
        <w:tc>
          <w:tcPr>
            <w:tcW w:type="dxa" w:w="2484"/>
          </w:tcPr>
          <w:p>
            <w:r>
              <w:t>204</w:t>
            </w:r>
          </w:p>
        </w:tc>
        <w:tc>
          <w:tcPr>
            <w:tcW w:type="dxa" w:w="2484"/>
          </w:tcPr>
          <w:p>
            <w:r>
              <w:t>+12.7%</w:t>
            </w:r>
          </w:p>
        </w:tc>
      </w:tr>
      <w:tr>
        <w:tc>
          <w:tcPr>
            <w:tcW w:type="dxa" w:w="2484"/>
          </w:tcPr>
          <w:p>
            <w:r>
              <w:t>DSP</w:t>
            </w:r>
          </w:p>
        </w:tc>
        <w:tc>
          <w:tcPr>
            <w:tcW w:type="dxa" w:w="2484"/>
          </w:tcPr>
          <w:p>
            <w:r>
              <w:t>196</w:t>
            </w:r>
          </w:p>
        </w:tc>
        <w:tc>
          <w:tcPr>
            <w:tcW w:type="dxa" w:w="2484"/>
          </w:tcPr>
          <w:p>
            <w:r>
              <w:t>487</w:t>
            </w:r>
          </w:p>
        </w:tc>
        <w:tc>
          <w:tcPr>
            <w:tcW w:type="dxa" w:w="2484"/>
          </w:tcPr>
          <w:p>
            <w:r>
              <w:t>+148.5%</w:t>
            </w:r>
          </w:p>
        </w:tc>
      </w:tr>
      <w:tr>
        <w:tc>
          <w:tcPr>
            <w:tcW w:type="dxa" w:w="2484"/>
          </w:tcPr>
          <w:p>
            <w:r>
              <w:t>FF</w:t>
            </w:r>
          </w:p>
        </w:tc>
        <w:tc>
          <w:tcPr>
            <w:tcW w:type="dxa" w:w="2484"/>
          </w:tcPr>
          <w:p>
            <w:r>
              <w:t>51,979</w:t>
            </w:r>
          </w:p>
        </w:tc>
        <w:tc>
          <w:tcPr>
            <w:tcW w:type="dxa" w:w="2484"/>
          </w:tcPr>
          <w:p>
            <w:r>
              <w:t>49,834</w:t>
            </w:r>
          </w:p>
        </w:tc>
        <w:tc>
          <w:tcPr>
            <w:tcW w:type="dxa" w:w="2484"/>
          </w:tcPr>
          <w:p>
            <w:r>
              <w:t>−4.1%</w:t>
            </w:r>
          </w:p>
        </w:tc>
      </w:tr>
      <w:tr>
        <w:tc>
          <w:tcPr>
            <w:tcW w:type="dxa" w:w="2484"/>
          </w:tcPr>
          <w:p>
            <w:r>
              <w:t>LUT</w:t>
            </w:r>
          </w:p>
        </w:tc>
        <w:tc>
          <w:tcPr>
            <w:tcW w:type="dxa" w:w="2484"/>
          </w:tcPr>
          <w:p>
            <w:r>
              <w:t>38,920</w:t>
            </w:r>
          </w:p>
        </w:tc>
        <w:tc>
          <w:tcPr>
            <w:tcW w:type="dxa" w:w="2484"/>
          </w:tcPr>
          <w:p>
            <w:r>
              <w:t>152,325</w:t>
            </w:r>
          </w:p>
        </w:tc>
        <w:tc>
          <w:tcPr>
            <w:tcW w:type="dxa" w:w="2484"/>
          </w:tcPr>
          <w:p>
            <w:r>
              <w:t>+291.2%</w:t>
            </w:r>
          </w:p>
        </w:tc>
      </w:tr>
    </w:tbl>
    <w:p/>
    <w:p>
      <w:r>
        <w:t>Run 11 approximately halves latency while substantially increasing replicated hardware. The strongest resource increases are LUTs and DSPs, illustrating the latency-versus-resource tradeoff created by expert-level parallelism.</w:t>
      </w:r>
    </w:p>
    <w:p>
      <w:pPr>
        <w:pStyle w:val="Heading1"/>
      </w:pPr>
      <w:r>
        <w:t>9. Timing</w:t>
      </w:r>
    </w:p>
    <w:p>
      <w:r>
        <w:t>The later Run 11 timing summary reports a 10.00 ns target and 7.392 ns estimated period with 2.70 ns uncertainty. The estimated period is below the target, indicating that the 100 MHz target is met at the HLS estimation stage. The corresponding estimated maximum frequency is approximately 135 MHz.</w:t>
      </w:r>
    </w:p>
    <w:p>
      <w:r>
        <w:t>Run 11 latency is 46,379 cycles, approximately 0.464 ms at 100 MHz. The reported interval is 46,380 cycles and the top-level pipeline is not enabled.</w:t>
      </w:r>
    </w:p>
    <w:p>
      <w:pPr>
        <w:pStyle w:val="Heading1"/>
      </w:pPr>
      <w:r>
        <w:t>10. Discussion</w:t>
      </w:r>
    </w:p>
    <w:p>
      <w:r>
        <w:t>Moving from one to two expert engines reduces latency by about 51%, while LUT usage increases by about 291% and DSP usage by about 149%. BRAM increases moderately and FF usage decreases slightly in the reported synthesis results.</w:t>
      </w:r>
    </w:p>
    <w:p>
      <w:r>
        <w:t>This demonstrates why MoE hardware should not be optimized using latency alone. Increasing expert parallelism can improve execution time while creating significant resource and placement pressure.</w:t>
      </w:r>
    </w:p>
    <w:p>
      <w:pPr>
        <w:pStyle w:val="Heading1"/>
      </w:pPr>
      <w:r>
        <w:t>11. Limitations / Known Issue</w:t>
      </w:r>
    </w:p>
    <w:p>
      <w:pPr>
        <w:pStyle w:val="ListBullet"/>
      </w:pPr>
      <w:r>
        <w:t>The experiment covers the output-MoE portion rather than the complete HMoE pipeline.</w:t>
      </w:r>
    </w:p>
    <w:p>
      <w:pPr>
        <w:pStyle w:val="ListBullet"/>
      </w:pPr>
      <w:r>
        <w:t>The current model uses k=4 with four experts, so it is dense across experts.</w:t>
      </w:r>
    </w:p>
    <w:p>
      <w:pPr>
        <w:pStyle w:val="ListBullet"/>
      </w:pPr>
      <w:r>
        <w:t>Run 11 uses static expert assignment rather than dynamic scheduling.</w:t>
      </w:r>
    </w:p>
    <w:p>
      <w:pPr>
        <w:pStyle w:val="ListBullet"/>
      </w:pPr>
      <w:r>
        <w:t>The Run 11 testbench retains a known Sample 6 perf mismatch as a warning.</w:t>
      </w:r>
    </w:p>
    <w:p>
      <w:pPr>
        <w:pStyle w:val="ListBullet"/>
      </w:pPr>
      <w:r>
        <w:t>HLS timing estimates are not a substitute for final post-place-and-route timing.</w:t>
      </w:r>
    </w:p>
    <w:p>
      <w:pPr>
        <w:pStyle w:val="Heading1"/>
      </w:pPr>
      <w:r>
        <w:t>12. Conclusion</w:t>
      </w:r>
    </w:p>
    <w:p>
      <w:r>
        <w:t>Run 9 and Run 11 establish two useful hardware baselines. Run 9 emphasizes resource sharing through one reusable expert engine, while Run 11 duplicates the engine for two-way expert-level parallelism. Under the reported synthesis results, Run 11 reduces latency from 94,685 to 46,379 cycles, approximately 51%, at the cost of substantial LUT and DSP increases.</w:t>
      </w:r>
    </w:p>
    <w:p>
      <w:pPr>
        <w:pStyle w:val="Heading1"/>
      </w:pPr>
      <w:r>
        <w:t>13. Future DSE Directions</w:t>
      </w:r>
    </w:p>
    <w:p>
      <w:pPr>
        <w:pStyle w:val="ListBullet"/>
      </w:pPr>
      <w:r>
        <w:t>Explore 1-, 2-, and 4-engine expert parallelism.</w:t>
      </w:r>
    </w:p>
    <w:p>
      <w:pPr>
        <w:pStyle w:val="ListBullet"/>
      </w:pPr>
      <w:r>
        <w:t>Evaluate sparse top-k routing against dense k=4.</w:t>
      </w:r>
    </w:p>
    <w:p>
      <w:pPr>
        <w:pStyle w:val="ListBullet"/>
      </w:pPr>
      <w:r>
        <w:t>Investigate dynamic expert scheduling and load balancing.</w:t>
      </w:r>
    </w:p>
    <w:p>
      <w:pPr>
        <w:pStyle w:val="ListBullet"/>
      </w:pPr>
      <w:r>
        <w:t>Explore objective-head parallelism as a second mapping dimension.</w:t>
      </w:r>
    </w:p>
    <w:p>
      <w:pPr>
        <w:pStyle w:val="ListBullet"/>
      </w:pPr>
      <w:r>
        <w:t>Study FP16/BF16/fixed-point precision options.</w:t>
      </w:r>
    </w:p>
    <w:p>
      <w:pPr>
        <w:pStyle w:val="ListBullet"/>
      </w:pPr>
      <w:r>
        <w:t>Extend toward block/pseudo, GNN/GCN, node attention, and the full HMoE pipeline.</w:t>
      </w:r>
    </w:p>
    <w:p>
      <w:pPr>
        <w:pStyle w:val="ListBullet"/>
      </w:pPr>
      <w:r>
        <w:t>Construct latency-resource-accuracy Pareto frontiers.</w:t>
      </w:r>
    </w:p>
    <w:p>
      <w:pPr>
        <w:pStyle w:val="Heading1"/>
      </w:pPr>
      <w:r>
        <w:t>14. Reproducibility Notes</w:t>
      </w:r>
    </w:p>
    <w:p>
      <w:r>
        <w:t>Experiments use Vitis HLS 2023.2, target xcvu13p_CIV-figd2104-3-e, and a 10 ns clock. Both hardware designs use common trained parameters and input/reference data. Retain HLS .rpt files, Vitis logs, source, testbench, and software golden-generation files with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