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D9E" w:rsidRDefault="001D3DD9">
      <w:pPr>
        <w:jc w:val="center"/>
        <w:rPr>
          <w:rFonts w:hint="eastAsia"/>
        </w:rPr>
      </w:pPr>
      <w:r>
        <w:rPr>
          <w:b/>
          <w:sz w:val="44"/>
        </w:rPr>
        <w:t>HMoE Output-MoE Hardware Evaluation</w:t>
      </w:r>
    </w:p>
    <w:p w:rsidR="00BC1D9E" w:rsidRDefault="001D3DD9">
      <w:pPr>
        <w:jc w:val="center"/>
        <w:rPr>
          <w:rFonts w:hint="eastAsia"/>
        </w:rPr>
      </w:pPr>
      <w:r>
        <w:rPr>
          <w:i/>
          <w:sz w:val="24"/>
        </w:rPr>
        <w:t>Software, Architecture, Verification, and PPA Results</w:t>
      </w:r>
    </w:p>
    <w:p w:rsidR="00BC1D9E" w:rsidRDefault="001D3DD9">
      <w:pPr>
        <w:pStyle w:val="Heading1"/>
      </w:pPr>
      <w:r>
        <w:t>1</w:t>
      </w:r>
      <w:r>
        <w:t>. Software Baseline</w:t>
      </w:r>
    </w:p>
    <w:p w:rsidR="00BC1D9E" w:rsidRDefault="001D3DD9">
      <w:pPr>
        <w:rPr>
          <w:rFonts w:hint="eastAsia"/>
        </w:rPr>
      </w:pPr>
      <w:r>
        <w:t xml:space="preserve">The software reference was derived from the repository model implementation and trained checkpoint. The output-MoE uses a 128-dimensional h7 </w:t>
      </w:r>
      <w:r>
        <w:t>input, four experts, k=4 gating, and five PPA prediction objectives. Since k equals the number of experts, all four experts are selected and their outputs are combined using softmax gate weights.</w:t>
      </w:r>
    </w:p>
    <w:p w:rsidR="00BC1D9E" w:rsidRDefault="001D3DD9">
      <w:pPr>
        <w:rPr>
          <w:rFonts w:hint="eastAsia"/>
        </w:rPr>
      </w:pPr>
      <w:r>
        <w:t>Each expert contains five independent MLP heads. Each head i</w:t>
      </w:r>
      <w:r>
        <w:t>s 128 → 32 → 16 → 8 → 1, with ELU after the first three layers and a linear final layer. The software reference evaluates all four experts and performs a gate-weighted sum for each objective.</w:t>
      </w:r>
    </w:p>
    <w:p w:rsidR="00BC1D9E" w:rsidRDefault="001D3DD9">
      <w:pPr>
        <w:pStyle w:val="Heading1"/>
      </w:pPr>
      <w:r>
        <w:t>2</w:t>
      </w:r>
      <w:r>
        <w:t>. Common Model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C1D9E">
        <w:trPr>
          <w:jc w:val="center"/>
        </w:trPr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rPr>
                <w:b/>
              </w:rPr>
              <w:t>Parameter</w:t>
            </w:r>
          </w:p>
        </w:tc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rPr>
                <w:b/>
              </w:rPr>
              <w:t>Value</w:t>
            </w:r>
          </w:p>
        </w:tc>
      </w:tr>
      <w:tr w:rsidR="00BC1D9E">
        <w:trPr>
          <w:jc w:val="center"/>
        </w:trPr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Input h7 dimension</w:t>
            </w:r>
          </w:p>
        </w:tc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1</w:t>
            </w:r>
            <w:r>
              <w:t>28</w:t>
            </w:r>
          </w:p>
        </w:tc>
      </w:tr>
      <w:tr w:rsidR="00BC1D9E">
        <w:trPr>
          <w:jc w:val="center"/>
        </w:trPr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Expe</w:t>
            </w:r>
            <w:bookmarkStart w:id="0" w:name="_GoBack"/>
            <w:bookmarkEnd w:id="0"/>
            <w:r>
              <w:t>rts</w:t>
            </w:r>
          </w:p>
        </w:tc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4</w:t>
            </w:r>
          </w:p>
        </w:tc>
      </w:tr>
      <w:tr w:rsidR="00BC1D9E">
        <w:trPr>
          <w:jc w:val="center"/>
        </w:trPr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MoE k</w:t>
            </w:r>
          </w:p>
        </w:tc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4</w:t>
            </w:r>
          </w:p>
        </w:tc>
      </w:tr>
      <w:tr w:rsidR="00BC1D9E">
        <w:trPr>
          <w:jc w:val="center"/>
        </w:trPr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Objectives</w:t>
            </w:r>
          </w:p>
        </w:tc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5</w:t>
            </w:r>
          </w:p>
        </w:tc>
      </w:tr>
      <w:tr w:rsidR="00BC1D9E">
        <w:trPr>
          <w:jc w:val="center"/>
        </w:trPr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MLP head</w:t>
            </w:r>
          </w:p>
        </w:tc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128 → 32 → 16 → 8 → 1</w:t>
            </w:r>
          </w:p>
        </w:tc>
      </w:tr>
      <w:tr w:rsidR="00BC1D9E">
        <w:trPr>
          <w:jc w:val="center"/>
        </w:trPr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Activation</w:t>
            </w:r>
          </w:p>
        </w:tc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ELU after first 3 layers</w:t>
            </w:r>
          </w:p>
        </w:tc>
      </w:tr>
      <w:tr w:rsidR="00BC1D9E">
        <w:trPr>
          <w:jc w:val="center"/>
        </w:trPr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Final layer</w:t>
            </w:r>
          </w:p>
        </w:tc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Linear</w:t>
            </w:r>
          </w:p>
        </w:tc>
      </w:tr>
      <w:tr w:rsidR="00BC1D9E">
        <w:trPr>
          <w:jc w:val="center"/>
        </w:trPr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Objectives</w:t>
            </w:r>
          </w:p>
        </w:tc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perf, util-LUT, util-FF, util-DSP, util-BRAM</w:t>
            </w:r>
          </w:p>
        </w:tc>
      </w:tr>
      <w:tr w:rsidR="00BC1D9E">
        <w:trPr>
          <w:jc w:val="center"/>
        </w:trPr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HLS target</w:t>
            </w:r>
          </w:p>
        </w:tc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xcvu13p_CIV-figd2104-3-e</w:t>
            </w:r>
          </w:p>
        </w:tc>
      </w:tr>
      <w:tr w:rsidR="00BC1D9E">
        <w:trPr>
          <w:jc w:val="center"/>
        </w:trPr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Clock</w:t>
            </w:r>
          </w:p>
        </w:tc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10 ns / 100 MHz</w:t>
            </w:r>
          </w:p>
        </w:tc>
      </w:tr>
      <w:tr w:rsidR="00BC1D9E">
        <w:trPr>
          <w:jc w:val="center"/>
        </w:trPr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Test samples</w:t>
            </w:r>
          </w:p>
        </w:tc>
        <w:tc>
          <w:tcPr>
            <w:tcW w:w="4968" w:type="dxa"/>
          </w:tcPr>
          <w:p w:rsidR="00BC1D9E" w:rsidRDefault="001D3DD9">
            <w:pPr>
              <w:rPr>
                <w:rFonts w:hint="eastAsia"/>
              </w:rPr>
            </w:pPr>
            <w:r>
              <w:t>10</w:t>
            </w:r>
          </w:p>
        </w:tc>
      </w:tr>
    </w:tbl>
    <w:p w:rsidR="00BC1D9E" w:rsidRDefault="00BC1D9E">
      <w:pPr>
        <w:rPr>
          <w:rFonts w:hint="eastAsia"/>
        </w:rPr>
      </w:pPr>
    </w:p>
    <w:p w:rsidR="00BC1D9E" w:rsidRDefault="001D3DD9">
      <w:pPr>
        <w:pStyle w:val="Heading1"/>
      </w:pPr>
      <w:r>
        <w:t>3</w:t>
      </w:r>
      <w:r>
        <w:t>. Run 9 — Sequential Hardware Baseline</w:t>
      </w:r>
    </w:p>
    <w:p w:rsidR="00BC1D9E" w:rsidRDefault="001D3DD9">
      <w:pPr>
        <w:rPr>
          <w:rFonts w:hint="eastAsia"/>
        </w:rPr>
      </w:pPr>
      <w:r>
        <w:t>Run 9 uses one reusable expert engine. The four experts execute sequentially as E0 → E1 → E2 → E3. Within each expert, the five objective heads also execute sequentially. This emphasizes hardware resource shari</w:t>
      </w:r>
      <w:r>
        <w:t>ng.</w:t>
      </w:r>
    </w:p>
    <w:p w:rsidR="00BC1D9E" w:rsidRDefault="001D3DD9">
      <w:pPr>
        <w:rPr>
          <w:rFonts w:hint="eastAsia"/>
        </w:rPr>
      </w:pPr>
      <w:r>
        <w:t>The design therefore maps four logical experts onto one physical reusable computation engine, followed by gate-weighted accumulation.</w:t>
      </w:r>
    </w:p>
    <w:p w:rsidR="00BC1D9E" w:rsidRDefault="001D3DD9">
      <w:pPr>
        <w:pStyle w:val="Heading1"/>
      </w:pPr>
      <w:r>
        <w:t>4</w:t>
      </w:r>
      <w:r>
        <w:t>. Run 11 — Parallel Hardware Baseline</w:t>
      </w:r>
    </w:p>
    <w:p w:rsidR="00BC1D9E" w:rsidRDefault="001D3DD9">
      <w:pPr>
        <w:rPr>
          <w:rFonts w:hint="eastAsia"/>
        </w:rPr>
      </w:pPr>
      <w:r>
        <w:t xml:space="preserve">Run 11 keeps the same trained parameters and numerical algorithm as Run 9, but </w:t>
      </w:r>
      <w:r>
        <w:t>changes the hardware mapping. Engine A processes E0 → E2 and Engine B processes E1 → E3. HLS DATAFLOW allows the two engines to operate concurrently.</w:t>
      </w:r>
    </w:p>
    <w:p w:rsidR="00BC1D9E" w:rsidRDefault="001D3DD9">
      <w:pPr>
        <w:rPr>
          <w:rFonts w:hint="eastAsia"/>
        </w:rPr>
      </w:pPr>
      <w:r>
        <w:t>Each engine still processes its assigned experts sequentially, and the five objective heads inside each ex</w:t>
      </w:r>
      <w:r>
        <w:t>pert remain sequential. Thus the added parallelism is expert-level, not objective-head-level.</w:t>
      </w:r>
    </w:p>
    <w:p w:rsidR="00BC1D9E" w:rsidRDefault="001D3DD9">
      <w:pPr>
        <w:rPr>
          <w:rFonts w:hint="eastAsia"/>
        </w:rPr>
      </w:pPr>
      <w:r>
        <w:t>The engine outputs are remapped to E0, E1, E2, E3 before the final gate-weighted sum, so the algorithmic output calculation remains unchanged.</w:t>
      </w:r>
    </w:p>
    <w:p w:rsidR="00BC1D9E" w:rsidRDefault="001D3DD9">
      <w:pPr>
        <w:pStyle w:val="Heading1"/>
      </w:pPr>
      <w:r>
        <w:lastRenderedPageBreak/>
        <w:t>5</w:t>
      </w:r>
      <w:r>
        <w:t>. Architecture Com</w:t>
      </w:r>
      <w:r>
        <w:t>parison</w:t>
      </w:r>
    </w:p>
    <w:p w:rsidR="00BC1D9E" w:rsidRDefault="001D3DD9">
      <w:pPr>
        <w:rPr>
          <w:rFonts w:hint="eastAsia"/>
        </w:rPr>
      </w:pPr>
      <w:r>
        <w:t>The key difference is physical replication. Run 9 maps four logical experts onto one reusable engine. Run 11 maps them onto two engines, allowing two experts to be processed concurrently. No trained weights, biases, MLP dimensions, gate formulation</w:t>
      </w:r>
      <w:r>
        <w:t>, or final weighted-sum algorithm were changed.</w:t>
      </w:r>
    </w:p>
    <w:p w:rsidR="00BC1D9E" w:rsidRDefault="001D3DD9">
      <w:pPr>
        <w:pStyle w:val="Heading1"/>
      </w:pPr>
      <w:r>
        <w:t>6</w:t>
      </w:r>
      <w:r>
        <w:t>. Functional Verification</w:t>
      </w:r>
    </w:p>
    <w:p w:rsidR="00BC1D9E" w:rsidRDefault="001D3DD9">
      <w:pPr>
        <w:rPr>
          <w:rFonts w:hint="eastAsia"/>
        </w:rPr>
      </w:pPr>
      <w:r>
        <w:t>The HLS testbench reads 10 samples of the 128-dimensional h7 input, reference gate values, and reference output data. For each sample it calls output_moe(), checks all four gates an</w:t>
      </w:r>
      <w:r>
        <w:t>d their sum, and prints all five objective outputs.</w:t>
      </w:r>
    </w:p>
    <w:p w:rsidR="00BC1D9E" w:rsidRDefault="001D3DD9">
      <w:pPr>
        <w:rPr>
          <w:rFonts w:hint="eastAsia"/>
        </w:rPr>
      </w:pPr>
      <w:r>
        <w:t>The testbench is a verification wrapper; it does not implement the MoE algorithm. Expected values originate from the software reference/golden data. The tolerance is 1e-4.</w:t>
      </w:r>
    </w:p>
    <w:p w:rsidR="00BC1D9E" w:rsidRDefault="001D3DD9">
      <w:pPr>
        <w:rPr>
          <w:rFonts w:hint="eastAsia"/>
        </w:rPr>
      </w:pPr>
      <w:r>
        <w:t>Run 9 corrected software/HLS com</w:t>
      </w:r>
      <w:r>
        <w:t>parison showed gate and objective differences within floating-point tolerance. Run 11 C simulation passed its functional checks, but retains a previously observed Sample 6 perf discrepancy as an explicitly ignored warning. This should be reported as a know</w:t>
      </w:r>
      <w:r>
        <w:t>n limitation rather than hidden as a clean verification result.</w:t>
      </w:r>
    </w:p>
    <w:p w:rsidR="00BC1D9E" w:rsidRDefault="001D3DD9">
      <w:pPr>
        <w:pStyle w:val="Heading1"/>
      </w:pPr>
      <w:r>
        <w:t>7</w:t>
      </w:r>
      <w:r>
        <w:t>. Synthesis and PPA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BC1D9E">
        <w:trPr>
          <w:jc w:val="center"/>
        </w:trPr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rPr>
                <w:b/>
              </w:rPr>
              <w:t>Metric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rPr>
                <w:b/>
              </w:rPr>
              <w:t>Run 9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rPr>
                <w:b/>
              </w:rPr>
              <w:t>Run 11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rPr>
                <w:b/>
              </w:rPr>
              <w:t>Change</w:t>
            </w:r>
          </w:p>
        </w:tc>
      </w:tr>
      <w:tr w:rsidR="00BC1D9E">
        <w:trPr>
          <w:jc w:val="center"/>
        </w:trPr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Latency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94,685 cycles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46,379 cycles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−</w:t>
            </w:r>
            <w:r>
              <w:t>51.0%</w:t>
            </w:r>
          </w:p>
        </w:tc>
      </w:tr>
      <w:tr w:rsidR="00BC1D9E">
        <w:trPr>
          <w:jc w:val="center"/>
        </w:trPr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Time @ 100 MHz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946.85 µs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463.79 µs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−</w:t>
            </w:r>
            <w:r>
              <w:t>51.0%</w:t>
            </w:r>
          </w:p>
        </w:tc>
      </w:tr>
      <w:tr w:rsidR="00BC1D9E">
        <w:trPr>
          <w:jc w:val="center"/>
        </w:trPr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BRAM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181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204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+12.7%</w:t>
            </w:r>
          </w:p>
        </w:tc>
      </w:tr>
      <w:tr w:rsidR="00BC1D9E">
        <w:trPr>
          <w:jc w:val="center"/>
        </w:trPr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DSP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196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487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+148.5%</w:t>
            </w:r>
          </w:p>
        </w:tc>
      </w:tr>
      <w:tr w:rsidR="00BC1D9E">
        <w:trPr>
          <w:jc w:val="center"/>
        </w:trPr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FF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51,979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49,834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−</w:t>
            </w:r>
            <w:r>
              <w:t>4.1%</w:t>
            </w:r>
          </w:p>
        </w:tc>
      </w:tr>
      <w:tr w:rsidR="00BC1D9E">
        <w:trPr>
          <w:jc w:val="center"/>
        </w:trPr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LUT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38,920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152,325</w:t>
            </w:r>
          </w:p>
        </w:tc>
        <w:tc>
          <w:tcPr>
            <w:tcW w:w="2484" w:type="dxa"/>
          </w:tcPr>
          <w:p w:rsidR="00BC1D9E" w:rsidRDefault="001D3DD9">
            <w:pPr>
              <w:rPr>
                <w:rFonts w:hint="eastAsia"/>
              </w:rPr>
            </w:pPr>
            <w:r>
              <w:t>+291.2%</w:t>
            </w:r>
          </w:p>
        </w:tc>
      </w:tr>
    </w:tbl>
    <w:p w:rsidR="00BC1D9E" w:rsidRDefault="00BC1D9E">
      <w:pPr>
        <w:rPr>
          <w:rFonts w:hint="eastAsia"/>
        </w:rPr>
      </w:pPr>
    </w:p>
    <w:p w:rsidR="00BC1D9E" w:rsidRDefault="001D3DD9">
      <w:pPr>
        <w:rPr>
          <w:rFonts w:hint="eastAsia"/>
        </w:rPr>
      </w:pPr>
      <w:r>
        <w:t>Run 11 approximately halves latency while substantially increasing replicated hardware. The strongest resource increases are LUTs and DSPs, illustrating the latency-versus-resource tradeoff created by exper</w:t>
      </w:r>
      <w:r>
        <w:t>t-level parallelism.</w:t>
      </w:r>
    </w:p>
    <w:sectPr w:rsidR="00BC1D9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3DD9"/>
    <w:rsid w:val="0029639D"/>
    <w:rsid w:val="00326F90"/>
    <w:rsid w:val="00AA1D8D"/>
    <w:rsid w:val="00B47730"/>
    <w:rsid w:val="00BC1D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2D589"/>
  <w14:defaultImageDpi w14:val="300"/>
  <w15:docId w15:val="{7C98A421-92A2-4A21-9AF5-EBA85C007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32C731-19CC-483F-A6DD-5FA9F3175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2026-09-15T07:08:00Z</dcterms:modified>
  <cp:category/>
</cp:coreProperties>
</file>