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43A52"/>
          <w:sz w:val="58"/>
        </w:rPr>
        <w:t>CUSTOMER SALES &amp;</w:t>
        <w:br/>
        <w:t>CHURN ANALYTICS</w:t>
      </w:r>
    </w:p>
    <w:p>
      <w:pPr>
        <w:jc w:val="center"/>
      </w:pPr>
      <w:r>
        <w:rPr>
          <w:color w:val="2E6F9E"/>
          <w:sz w:val="30"/>
        </w:rPr>
        <w:t>Interactive Data Analytics Dashboard with Customer Churn Analysis</w:t>
      </w:r>
    </w:p>
    <w:p>
      <w:pPr>
        <w:spacing w:before="600"/>
        <w:jc w:val="center"/>
      </w:pPr>
      <w:r>
        <w:rPr>
          <w:b/>
          <w:sz w:val="36"/>
        </w:rPr>
        <w:t>Project Report</w:t>
      </w:r>
    </w:p>
    <w:tbl>
      <w:tblPr>
        <w:tblStyle w:val="TableGrid"/>
        <w:tblW w:type="auto" w:w="0"/>
        <w:jc w:val="center"/>
        <w:tblLook w:firstColumn="1" w:firstRow="1" w:lastColumn="0" w:lastRow="0" w:noHBand="0" w:noVBand="1" w:val="04A0"/>
      </w:tblPr>
      <w:tblGrid>
        <w:gridCol w:w="5083"/>
        <w:gridCol w:w="5083"/>
      </w:tblGrid>
      <w:tr>
        <w:tc>
          <w:tcPr>
            <w:tcW w:type="dxa" w:w="2736"/>
            <w:vAlign w:val="center"/>
            <w:shd w:fill="143A52"/>
          </w:tcPr>
          <w:p>
            <w:pPr>
              <w:spacing w:after="0"/>
            </w:pPr>
            <w:r/>
            <w:r>
              <w:rPr>
                <w:rFonts w:ascii="Aptos" w:hAnsi="Aptos"/>
                <w:b/>
                <w:color w:val="FFFFFF"/>
                <w:sz w:val="20"/>
              </w:rPr>
              <w:t>Student</w:t>
            </w:r>
          </w:p>
        </w:tc>
        <w:tc>
          <w:tcPr>
            <w:tcW w:type="dxa" w:w="6624"/>
            <w:vAlign w:val="center"/>
          </w:tcPr>
          <w:p>
            <w:pPr>
              <w:spacing w:after="0"/>
            </w:pPr>
            <w:r/>
            <w:r>
              <w:rPr>
                <w:rFonts w:ascii="Aptos" w:hAnsi="Aptos"/>
                <w:b w:val="0"/>
                <w:color w:val="1F2937"/>
                <w:sz w:val="20"/>
              </w:rPr>
              <w:t>Siddarth</w:t>
            </w:r>
          </w:p>
        </w:tc>
      </w:tr>
      <w:tr>
        <w:tc>
          <w:tcPr>
            <w:tcW w:type="dxa" w:w="2736"/>
            <w:vAlign w:val="center"/>
            <w:shd w:fill="143A52"/>
          </w:tcPr>
          <w:p>
            <w:pPr>
              <w:spacing w:after="0"/>
            </w:pPr>
            <w:r/>
            <w:r>
              <w:rPr>
                <w:rFonts w:ascii="Aptos" w:hAnsi="Aptos"/>
                <w:b/>
                <w:color w:val="FFFFFF"/>
                <w:sz w:val="20"/>
              </w:rPr>
              <w:t>Program</w:t>
            </w:r>
          </w:p>
        </w:tc>
        <w:tc>
          <w:tcPr>
            <w:tcW w:type="dxa" w:w="6624"/>
            <w:vAlign w:val="center"/>
          </w:tcPr>
          <w:p>
            <w:pPr>
              <w:spacing w:after="0"/>
            </w:pPr>
            <w:r/>
            <w:r>
              <w:rPr>
                <w:rFonts w:ascii="Aptos" w:hAnsi="Aptos"/>
                <w:b w:val="0"/>
                <w:color w:val="1F2937"/>
                <w:sz w:val="20"/>
              </w:rPr>
              <w:t>B.Tech</w:t>
            </w:r>
          </w:p>
        </w:tc>
      </w:tr>
      <w:tr>
        <w:tc>
          <w:tcPr>
            <w:tcW w:type="dxa" w:w="2736"/>
            <w:vAlign w:val="center"/>
            <w:shd w:fill="143A52"/>
          </w:tcPr>
          <w:p>
            <w:pPr>
              <w:spacing w:after="0"/>
            </w:pPr>
            <w:r/>
            <w:r>
              <w:rPr>
                <w:rFonts w:ascii="Aptos" w:hAnsi="Aptos"/>
                <w:b/>
                <w:color w:val="FFFFFF"/>
                <w:sz w:val="20"/>
              </w:rPr>
              <w:t>Institution</w:t>
            </w:r>
          </w:p>
        </w:tc>
        <w:tc>
          <w:tcPr>
            <w:tcW w:type="dxa" w:w="6624"/>
            <w:vAlign w:val="center"/>
          </w:tcPr>
          <w:p>
            <w:pPr>
              <w:spacing w:after="0"/>
            </w:pPr>
            <w:r/>
            <w:r>
              <w:rPr>
                <w:rFonts w:ascii="Aptos" w:hAnsi="Aptos"/>
                <w:b w:val="0"/>
                <w:color w:val="1F2937"/>
                <w:sz w:val="20"/>
              </w:rPr>
              <w:t>Keshav Memorial Engineering College</w:t>
            </w:r>
          </w:p>
        </w:tc>
      </w:tr>
      <w:tr>
        <w:tc>
          <w:tcPr>
            <w:tcW w:type="dxa" w:w="2736"/>
            <w:vAlign w:val="center"/>
            <w:shd w:fill="143A52"/>
          </w:tcPr>
          <w:p>
            <w:pPr>
              <w:spacing w:after="0"/>
            </w:pPr>
            <w:r/>
            <w:r>
              <w:rPr>
                <w:rFonts w:ascii="Aptos" w:hAnsi="Aptos"/>
                <w:b/>
                <w:color w:val="FFFFFF"/>
                <w:sz w:val="20"/>
              </w:rPr>
              <w:t>Submission</w:t>
            </w:r>
          </w:p>
        </w:tc>
        <w:tc>
          <w:tcPr>
            <w:tcW w:type="dxa" w:w="6624"/>
            <w:vAlign w:val="center"/>
          </w:tcPr>
          <w:p>
            <w:pPr>
              <w:spacing w:after="0"/>
            </w:pPr>
            <w:r/>
            <w:r>
              <w:rPr>
                <w:rFonts w:ascii="Aptos" w:hAnsi="Aptos"/>
                <w:b w:val="0"/>
                <w:color w:val="1F2937"/>
                <w:sz w:val="20"/>
              </w:rPr>
              <w:t>AICTE | IBM SkillsBuild Data Analytics with AI Internship 2026</w:t>
            </w:r>
          </w:p>
        </w:tc>
      </w:tr>
    </w:tbl>
    <w:p/>
    <w:p>
      <w:pPr>
        <w:jc w:val="center"/>
      </w:pPr>
      <w:r>
        <w:rPr>
          <w:color w:val="5F6973"/>
          <w:sz w:val="20"/>
        </w:rPr>
        <w:t>Technology Stack: Python • Pandas • NumPy • Plotly • Streamlit • SciPy • scikit-learn</w:t>
      </w:r>
    </w:p>
    <w:p>
      <w:r>
        <w:br w:type="page"/>
      </w:r>
    </w:p>
    <w:p>
      <w:pPr>
        <w:pStyle w:val="Heading1"/>
      </w:pPr>
      <w:r>
        <w:t>1. Executive Summary</w:t>
      </w:r>
    </w:p>
    <w:p>
      <w:r>
        <w:rPr>
          <w:b/>
        </w:rPr>
        <w:t>Customer Sales &amp; Churn Analytics</w:t>
      </w:r>
      <w:r>
        <w:t xml:space="preserve"> is an end-to-end analytics project that combines data-quality validation, descriptive sales analysis, customer segmentation, churn modelling, and an interactive Streamlit dashboard. The submitted implementation separates dashboard analytics from the scikit-learn model pipeline so the dashboard can run reliably using the exported churn-risk table while the modelling code remains reproducible in the project source.</w:t>
      </w:r>
    </w:p>
    <w:p>
      <w:r>
        <w:rPr>
          <w:i w:val="0"/>
        </w:rPr>
        <w:t>The dashboard works from the cleaned project dataset and presents five KPI cards, sales visualisations, a customer risk table, churn-model metrics, and business insights. The model pipeline uses RFM features and Logistic Regression with a 75/25 stratified split and `random_state=42`.</w:t>
      </w:r>
    </w:p>
    <w:tbl>
      <w:tblPr>
        <w:tblStyle w:val="TableGrid"/>
        <w:tblW w:type="auto" w:w="0"/>
        <w:jc w:val="center"/>
        <w:tblLook w:firstColumn="1" w:firstRow="1" w:lastColumn="0" w:lastRow="0" w:noHBand="0" w:noVBand="1" w:val="04A0"/>
      </w:tblPr>
      <w:tblGrid>
        <w:gridCol w:w="5083"/>
        <w:gridCol w:w="5083"/>
      </w:tblGrid>
      <w:tr>
        <w:tc>
          <w:tcPr>
            <w:tcW w:type="dxa" w:w="4320"/>
            <w:vAlign w:val="center"/>
            <w:shd w:fill="2E6F9E"/>
          </w:tcPr>
          <w:p>
            <w:pPr>
              <w:spacing w:after="0"/>
            </w:pPr>
            <w:r/>
            <w:r>
              <w:rPr>
                <w:rFonts w:ascii="Aptos" w:hAnsi="Aptos"/>
                <w:b/>
                <w:color w:val="FFFFFF"/>
                <w:sz w:val="19"/>
              </w:rPr>
              <w:t>Dataset size</w:t>
            </w:r>
          </w:p>
        </w:tc>
        <w:tc>
          <w:tcPr>
            <w:tcW w:type="dxa" w:w="5040"/>
            <w:vAlign w:val="center"/>
          </w:tcPr>
          <w:p>
            <w:pPr>
              <w:spacing w:after="0"/>
            </w:pPr>
            <w:r/>
            <w:r>
              <w:rPr>
                <w:rFonts w:ascii="Aptos" w:hAnsi="Aptos"/>
                <w:b w:val="0"/>
                <w:color w:val="1F2937"/>
                <w:sz w:val="19"/>
              </w:rPr>
              <w:t>2,000 rows; 12 columns</w:t>
            </w:r>
          </w:p>
        </w:tc>
      </w:tr>
      <w:tr>
        <w:tc>
          <w:tcPr>
            <w:tcW w:type="dxa" w:w="4320"/>
            <w:vAlign w:val="center"/>
            <w:shd w:fill="2E6F9E"/>
          </w:tcPr>
          <w:p>
            <w:pPr>
              <w:spacing w:after="0"/>
            </w:pPr>
            <w:r/>
            <w:r>
              <w:rPr>
                <w:rFonts w:ascii="Aptos" w:hAnsi="Aptos"/>
                <w:b/>
                <w:color w:val="FFFFFF"/>
                <w:sz w:val="19"/>
              </w:rPr>
              <w:t>Total revenue</w:t>
            </w:r>
          </w:p>
        </w:tc>
        <w:tc>
          <w:tcPr>
            <w:tcW w:type="dxa" w:w="5040"/>
            <w:vAlign w:val="center"/>
          </w:tcPr>
          <w:p>
            <w:pPr>
              <w:spacing w:after="0"/>
            </w:pPr>
            <w:r/>
            <w:r>
              <w:rPr>
                <w:rFonts w:ascii="Aptos" w:hAnsi="Aptos"/>
                <w:b w:val="0"/>
                <w:color w:val="1F2937"/>
                <w:sz w:val="19"/>
              </w:rPr>
              <w:t>₹8.20 Cr</w:t>
            </w:r>
          </w:p>
        </w:tc>
      </w:tr>
      <w:tr>
        <w:tc>
          <w:tcPr>
            <w:tcW w:type="dxa" w:w="4320"/>
            <w:vAlign w:val="center"/>
            <w:shd w:fill="2E6F9E"/>
          </w:tcPr>
          <w:p>
            <w:pPr>
              <w:spacing w:after="0"/>
            </w:pPr>
            <w:r/>
            <w:r>
              <w:rPr>
                <w:rFonts w:ascii="Aptos" w:hAnsi="Aptos"/>
                <w:b/>
                <w:color w:val="FFFFFF"/>
                <w:sz w:val="19"/>
              </w:rPr>
              <w:t>Total profit</w:t>
            </w:r>
          </w:p>
        </w:tc>
        <w:tc>
          <w:tcPr>
            <w:tcW w:type="dxa" w:w="5040"/>
            <w:vAlign w:val="center"/>
          </w:tcPr>
          <w:p>
            <w:pPr>
              <w:spacing w:after="0"/>
            </w:pPr>
            <w:r/>
            <w:r>
              <w:rPr>
                <w:rFonts w:ascii="Aptos" w:hAnsi="Aptos"/>
                <w:b w:val="0"/>
                <w:color w:val="1F2937"/>
                <w:sz w:val="19"/>
              </w:rPr>
              <w:t>₹1.52 Cr</w:t>
            </w:r>
          </w:p>
        </w:tc>
      </w:tr>
      <w:tr>
        <w:tc>
          <w:tcPr>
            <w:tcW w:type="dxa" w:w="4320"/>
            <w:vAlign w:val="center"/>
            <w:shd w:fill="2E6F9E"/>
          </w:tcPr>
          <w:p>
            <w:pPr>
              <w:spacing w:after="0"/>
            </w:pPr>
            <w:r/>
            <w:r>
              <w:rPr>
                <w:rFonts w:ascii="Aptos" w:hAnsi="Aptos"/>
                <w:b/>
                <w:color w:val="FFFFFF"/>
                <w:sz w:val="19"/>
              </w:rPr>
              <w:t>Orders / quantity</w:t>
            </w:r>
          </w:p>
        </w:tc>
        <w:tc>
          <w:tcPr>
            <w:tcW w:type="dxa" w:w="5040"/>
            <w:vAlign w:val="center"/>
          </w:tcPr>
          <w:p>
            <w:pPr>
              <w:spacing w:after="0"/>
            </w:pPr>
            <w:r/>
            <w:r>
              <w:rPr>
                <w:rFonts w:ascii="Aptos" w:hAnsi="Aptos"/>
                <w:b w:val="0"/>
                <w:color w:val="1F2937"/>
                <w:sz w:val="19"/>
              </w:rPr>
              <w:t>1,984 orders / 6,904 units</w:t>
            </w:r>
          </w:p>
        </w:tc>
      </w:tr>
      <w:tr>
        <w:tc>
          <w:tcPr>
            <w:tcW w:type="dxa" w:w="4320"/>
            <w:vAlign w:val="center"/>
            <w:shd w:fill="2E6F9E"/>
          </w:tcPr>
          <w:p>
            <w:pPr>
              <w:spacing w:after="0"/>
            </w:pPr>
            <w:r/>
            <w:r>
              <w:rPr>
                <w:rFonts w:ascii="Aptos" w:hAnsi="Aptos"/>
                <w:b/>
                <w:color w:val="FFFFFF"/>
                <w:sz w:val="19"/>
              </w:rPr>
              <w:t>Unique customers</w:t>
            </w:r>
          </w:p>
        </w:tc>
        <w:tc>
          <w:tcPr>
            <w:tcW w:type="dxa" w:w="5040"/>
            <w:vAlign w:val="center"/>
          </w:tcPr>
          <w:p>
            <w:pPr>
              <w:spacing w:after="0"/>
            </w:pPr>
            <w:r/>
            <w:r>
              <w:rPr>
                <w:rFonts w:ascii="Aptos" w:hAnsi="Aptos"/>
                <w:b w:val="0"/>
                <w:color w:val="1F2937"/>
                <w:sz w:val="19"/>
              </w:rPr>
              <w:t>415</w:t>
            </w:r>
          </w:p>
        </w:tc>
      </w:tr>
      <w:tr>
        <w:tc>
          <w:tcPr>
            <w:tcW w:type="dxa" w:w="4320"/>
            <w:vAlign w:val="center"/>
            <w:shd w:fill="2E6F9E"/>
          </w:tcPr>
          <w:p>
            <w:pPr>
              <w:spacing w:after="0"/>
            </w:pPr>
            <w:r/>
            <w:r>
              <w:rPr>
                <w:rFonts w:ascii="Aptos" w:hAnsi="Aptos"/>
                <w:b/>
                <w:color w:val="FFFFFF"/>
                <w:sz w:val="19"/>
              </w:rPr>
              <w:t>Churn model metrics</w:t>
            </w:r>
          </w:p>
        </w:tc>
        <w:tc>
          <w:tcPr>
            <w:tcW w:type="dxa" w:w="5040"/>
            <w:vAlign w:val="center"/>
          </w:tcPr>
          <w:p>
            <w:pPr>
              <w:spacing w:after="0"/>
            </w:pPr>
            <w:r/>
            <w:r>
              <w:rPr>
                <w:rFonts w:ascii="Aptos" w:hAnsi="Aptos"/>
                <w:b w:val="0"/>
                <w:color w:val="1F2937"/>
                <w:sz w:val="19"/>
              </w:rPr>
              <w:t>Accuracy 61.70% • Precision 75.00% • Recall 15.00%</w:t>
            </w:r>
          </w:p>
        </w:tc>
      </w:tr>
    </w:tbl>
    <w:p>
      <w:pPr>
        <w:pStyle w:val="Heading1"/>
      </w:pPr>
      <w:r>
        <w:t>2. Project Architecture</w:t>
      </w:r>
    </w:p>
    <w:p>
      <w:pPr>
        <w:pStyle w:val="ListBullet"/>
        <w:spacing w:after="40"/>
      </w:pPr>
      <w:r>
        <w:t>`data_cleaning.py` loads `Clean_Data.csv`, validates key fields, flags invalid dates/missing revenue/unknown entities, and produces a data-quality report.</w:t>
      </w:r>
    </w:p>
    <w:p>
      <w:pPr>
        <w:pStyle w:val="ListBullet"/>
        <w:spacing w:after="40"/>
      </w:pPr>
      <w:r>
        <w:t>`analytics.py` provides descriptive aggregations such as revenue by month/category/region/product, product profit, customer-type distribution, and profit/loss/break-even distribution.</w:t>
      </w:r>
    </w:p>
    <w:p>
      <w:pPr>
        <w:pStyle w:val="ListBullet"/>
        <w:spacing w:after="40"/>
      </w:pPr>
      <w:r>
        <w:t>`churn_model.py` builds RFM features, creates a forward-looking churn target, trains Logistic Regression with scaling, evaluates metrics, and creates customer risk levels and actions.</w:t>
      </w:r>
    </w:p>
    <w:p>
      <w:pPr>
        <w:pStyle w:val="ListBullet"/>
        <w:spacing w:after="40"/>
      </w:pPr>
      <w:r>
        <w:t>`app.py` is the Streamlit entry point. It displays the validated business analytics and reads `churn_risk_table.csv` for the customer-risk view rather than retraining scikit-learn on dashboard startup.</w:t>
      </w:r>
    </w:p>
    <w:p>
      <w:pPr>
        <w:pStyle w:val="ListBullet"/>
        <w:spacing w:after="40"/>
      </w:pPr>
      <w:r>
        <w:t>`requirements.txt` and `README.md` document the reproducible environment and operating instructions.</w:t>
      </w:r>
    </w:p>
    <w:p>
      <w:pPr>
        <w:pStyle w:val="Heading1"/>
      </w:pPr>
      <w:r>
        <w:t>3. Data Preparation &amp; Quality</w:t>
      </w:r>
    </w:p>
    <w:p>
      <w:r>
        <w:t>The project intentionally preserves data-quality issues instead of silently overwriting them. Invalid dates remain flagged, missing revenue values remain missing, and duplicates are reported so that the baseline dataset remains methodologically consistent. The dashboard exposes these findings in an expandable Data Quality Report.</w:t>
      </w:r>
    </w:p>
    <w:p>
      <w:pPr>
        <w:jc w:val="center"/>
      </w:pPr>
      <w:r>
        <w:drawing>
          <wp:inline xmlns:a="http://schemas.openxmlformats.org/drawingml/2006/main" xmlns:pic="http://schemas.openxmlformats.org/drawingml/2006/picture">
            <wp:extent cx="5989320" cy="3367627"/>
            <wp:docPr id="1" name="Picture 1"/>
            <wp:cNvGraphicFramePr>
              <a:graphicFrameLocks noChangeAspect="1"/>
            </wp:cNvGraphicFramePr>
            <a:graphic>
              <a:graphicData uri="http://schemas.openxmlformats.org/drawingml/2006/picture">
                <pic:pic>
                  <pic:nvPicPr>
                    <pic:cNvPr id="0" name="image(20260923-062438).png"/>
                    <pic:cNvPicPr/>
                  </pic:nvPicPr>
                  <pic:blipFill>
                    <a:blip r:embed="rId11"/>
                    <a:stretch>
                      <a:fillRect/>
                    </a:stretch>
                  </pic:blipFill>
                  <pic:spPr>
                    <a:xfrm>
                      <a:off x="0" y="0"/>
                      <a:ext cx="5989320" cy="3367627"/>
                    </a:xfrm>
                    <a:prstGeom prst="rect"/>
                  </pic:spPr>
                </pic:pic>
              </a:graphicData>
            </a:graphic>
          </wp:inline>
        </w:drawing>
      </w:r>
    </w:p>
    <w:p>
      <w:pPr>
        <w:pStyle w:val="CaptionCustom"/>
        <w:jc w:val="center"/>
      </w:pPr>
      <w:r>
        <w:t>Figure 1. Dashboard Data Quality Report showing 2,000 source rows, invalid dates, missing revenue, duplicates, anomalous values, and churn-model eligible rows.</w:t>
      </w:r>
    </w:p>
    <w:tbl>
      <w:tblPr>
        <w:tblStyle w:val="TableGrid"/>
        <w:tblW w:type="auto" w:w="0"/>
        <w:jc w:val="center"/>
        <w:tblLook w:firstColumn="1" w:firstRow="1" w:lastColumn="0" w:lastRow="0" w:noHBand="0" w:noVBand="1" w:val="04A0"/>
      </w:tblPr>
      <w:tblGrid>
        <w:gridCol w:w="3389"/>
        <w:gridCol w:w="3389"/>
        <w:gridCol w:w="3389"/>
      </w:tblGrid>
      <w:tr>
        <w:tc>
          <w:tcPr>
            <w:tcW w:type="dxa" w:w="4320"/>
            <w:vAlign w:val="center"/>
            <w:shd w:fill="143A52"/>
          </w:tcPr>
          <w:p>
            <w:pPr>
              <w:spacing w:after="0"/>
            </w:pPr>
            <w:r/>
            <w:r>
              <w:rPr>
                <w:rFonts w:ascii="Aptos" w:hAnsi="Aptos"/>
                <w:b/>
                <w:color w:val="FFFFFF"/>
                <w:sz w:val="19"/>
              </w:rPr>
              <w:t>Quality indicator</w:t>
            </w:r>
          </w:p>
        </w:tc>
        <w:tc>
          <w:tcPr>
            <w:tcW w:type="dxa" w:w="1728"/>
            <w:vAlign w:val="center"/>
            <w:shd w:fill="143A52"/>
          </w:tcPr>
          <w:p>
            <w:pPr>
              <w:spacing w:after="0"/>
            </w:pPr>
            <w:r/>
            <w:r>
              <w:rPr>
                <w:rFonts w:ascii="Aptos" w:hAnsi="Aptos"/>
                <w:b/>
                <w:color w:val="FFFFFF"/>
                <w:sz w:val="19"/>
              </w:rPr>
              <w:t>Count</w:t>
            </w:r>
          </w:p>
        </w:tc>
        <w:tc>
          <w:tcPr>
            <w:tcW w:type="dxa" w:w="4464"/>
            <w:vAlign w:val="center"/>
            <w:shd w:fill="143A52"/>
          </w:tcPr>
          <w:p>
            <w:pPr>
              <w:spacing w:after="0"/>
            </w:pPr>
            <w:r/>
            <w:r>
              <w:rPr>
                <w:rFonts w:ascii="Aptos" w:hAnsi="Aptos"/>
                <w:b/>
                <w:color w:val="FFFFFF"/>
                <w:sz w:val="19"/>
              </w:rPr>
              <w:t>Interpretation</w:t>
            </w:r>
          </w:p>
        </w:tc>
      </w:tr>
      <w:tr>
        <w:tc>
          <w:tcPr>
            <w:tcW w:type="dxa" w:w="4320"/>
            <w:vAlign w:val="center"/>
          </w:tcPr>
          <w:p>
            <w:pPr>
              <w:spacing w:after="0"/>
            </w:pPr>
            <w:r/>
            <w:r>
              <w:rPr>
                <w:rFonts w:ascii="Aptos" w:hAnsi="Aptos"/>
                <w:b/>
                <w:color w:val="1F2937"/>
                <w:sz w:val="18"/>
              </w:rPr>
              <w:t>Total rows</w:t>
            </w:r>
          </w:p>
        </w:tc>
        <w:tc>
          <w:tcPr>
            <w:tcW w:type="dxa" w:w="1728"/>
            <w:vAlign w:val="center"/>
          </w:tcPr>
          <w:p>
            <w:pPr>
              <w:spacing w:after="0"/>
            </w:pPr>
            <w:r/>
            <w:r>
              <w:rPr>
                <w:rFonts w:ascii="Aptos" w:hAnsi="Aptos"/>
                <w:b w:val="0"/>
                <w:color w:val="1F2937"/>
                <w:sz w:val="18"/>
              </w:rPr>
              <w:t>2,000</w:t>
            </w:r>
          </w:p>
        </w:tc>
        <w:tc>
          <w:tcPr>
            <w:tcW w:type="dxa" w:w="4464"/>
            <w:vAlign w:val="center"/>
          </w:tcPr>
          <w:p>
            <w:pPr>
              <w:spacing w:after="0"/>
            </w:pPr>
            <w:r/>
            <w:r>
              <w:rPr>
                <w:rFonts w:ascii="Aptos" w:hAnsi="Aptos"/>
                <w:b w:val="0"/>
                <w:color w:val="1F2937"/>
                <w:sz w:val="18"/>
              </w:rPr>
              <w:t>Source rows retained for analysis</w:t>
            </w:r>
          </w:p>
        </w:tc>
      </w:tr>
      <w:tr>
        <w:tc>
          <w:tcPr>
            <w:tcW w:type="dxa" w:w="4320"/>
            <w:vAlign w:val="center"/>
          </w:tcPr>
          <w:p>
            <w:pPr>
              <w:spacing w:after="0"/>
            </w:pPr>
            <w:r/>
            <w:r>
              <w:rPr>
                <w:rFonts w:ascii="Aptos" w:hAnsi="Aptos"/>
                <w:b/>
                <w:color w:val="1F2937"/>
                <w:sz w:val="18"/>
              </w:rPr>
              <w:t>Invalid dates</w:t>
            </w:r>
          </w:p>
        </w:tc>
        <w:tc>
          <w:tcPr>
            <w:tcW w:type="dxa" w:w="1728"/>
            <w:vAlign w:val="center"/>
          </w:tcPr>
          <w:p>
            <w:pPr>
              <w:spacing w:after="0"/>
            </w:pPr>
            <w:r/>
            <w:r>
              <w:rPr>
                <w:rFonts w:ascii="Aptos" w:hAnsi="Aptos"/>
                <w:b w:val="0"/>
                <w:color w:val="1F2937"/>
                <w:sz w:val="18"/>
              </w:rPr>
              <w:t>1,194 (59.7%)</w:t>
            </w:r>
          </w:p>
        </w:tc>
        <w:tc>
          <w:tcPr>
            <w:tcW w:type="dxa" w:w="4464"/>
            <w:vAlign w:val="center"/>
          </w:tcPr>
          <w:p>
            <w:pPr>
              <w:spacing w:after="0"/>
            </w:pPr>
            <w:r/>
            <w:r>
              <w:rPr>
                <w:rFonts w:ascii="Aptos" w:hAnsi="Aptos"/>
                <w:b w:val="0"/>
                <w:color w:val="1F2937"/>
                <w:sz w:val="18"/>
              </w:rPr>
              <w:t>Limits date-based trend analysis</w:t>
            </w:r>
          </w:p>
        </w:tc>
      </w:tr>
      <w:tr>
        <w:tc>
          <w:tcPr>
            <w:tcW w:type="dxa" w:w="4320"/>
            <w:vAlign w:val="center"/>
          </w:tcPr>
          <w:p>
            <w:pPr>
              <w:spacing w:after="0"/>
            </w:pPr>
            <w:r/>
            <w:r>
              <w:rPr>
                <w:rFonts w:ascii="Aptos" w:hAnsi="Aptos"/>
                <w:b/>
                <w:color w:val="1F2937"/>
                <w:sz w:val="18"/>
              </w:rPr>
              <w:t>Missing revenue</w:t>
            </w:r>
          </w:p>
        </w:tc>
        <w:tc>
          <w:tcPr>
            <w:tcW w:type="dxa" w:w="1728"/>
            <w:vAlign w:val="center"/>
          </w:tcPr>
          <w:p>
            <w:pPr>
              <w:spacing w:after="0"/>
            </w:pPr>
            <w:r/>
            <w:r>
              <w:rPr>
                <w:rFonts w:ascii="Aptos" w:hAnsi="Aptos"/>
                <w:b w:val="0"/>
                <w:color w:val="1F2937"/>
                <w:sz w:val="18"/>
              </w:rPr>
              <w:t>201 (10.0%)</w:t>
            </w:r>
          </w:p>
        </w:tc>
        <w:tc>
          <w:tcPr>
            <w:tcW w:type="dxa" w:w="4464"/>
            <w:vAlign w:val="center"/>
          </w:tcPr>
          <w:p>
            <w:pPr>
              <w:spacing w:after="0"/>
            </w:pPr>
            <w:r/>
            <w:r>
              <w:rPr>
                <w:rFonts w:ascii="Aptos" w:hAnsi="Aptos"/>
                <w:b w:val="0"/>
                <w:color w:val="1F2937"/>
                <w:sz w:val="18"/>
              </w:rPr>
              <w:t>Excluded from revenue calculations</w:t>
            </w:r>
          </w:p>
        </w:tc>
      </w:tr>
      <w:tr>
        <w:tc>
          <w:tcPr>
            <w:tcW w:type="dxa" w:w="4320"/>
            <w:vAlign w:val="center"/>
          </w:tcPr>
          <w:p>
            <w:pPr>
              <w:spacing w:after="0"/>
            </w:pPr>
            <w:r/>
            <w:r>
              <w:rPr>
                <w:rFonts w:ascii="Aptos" w:hAnsi="Aptos"/>
                <w:b/>
                <w:color w:val="1F2937"/>
                <w:sz w:val="18"/>
              </w:rPr>
              <w:t>Duplicate rows</w:t>
            </w:r>
          </w:p>
        </w:tc>
        <w:tc>
          <w:tcPr>
            <w:tcW w:type="dxa" w:w="1728"/>
            <w:vAlign w:val="center"/>
          </w:tcPr>
          <w:p>
            <w:pPr>
              <w:spacing w:after="0"/>
            </w:pPr>
            <w:r/>
            <w:r>
              <w:rPr>
                <w:rFonts w:ascii="Aptos" w:hAnsi="Aptos"/>
                <w:b w:val="0"/>
                <w:color w:val="1F2937"/>
                <w:sz w:val="18"/>
              </w:rPr>
              <w:t>23</w:t>
            </w:r>
          </w:p>
        </w:tc>
        <w:tc>
          <w:tcPr>
            <w:tcW w:type="dxa" w:w="4464"/>
            <w:vAlign w:val="center"/>
          </w:tcPr>
          <w:p>
            <w:pPr>
              <w:spacing w:after="0"/>
            </w:pPr>
            <w:r/>
            <w:r>
              <w:rPr>
                <w:rFonts w:ascii="Aptos" w:hAnsi="Aptos"/>
                <w:b w:val="0"/>
                <w:color w:val="1F2937"/>
                <w:sz w:val="18"/>
              </w:rPr>
              <w:t>Reported; not removed for baseline consistency</w:t>
            </w:r>
          </w:p>
        </w:tc>
      </w:tr>
      <w:tr>
        <w:tc>
          <w:tcPr>
            <w:tcW w:type="dxa" w:w="4320"/>
            <w:vAlign w:val="center"/>
          </w:tcPr>
          <w:p>
            <w:pPr>
              <w:spacing w:after="0"/>
            </w:pPr>
            <w:r/>
            <w:r>
              <w:rPr>
                <w:rFonts w:ascii="Aptos" w:hAnsi="Aptos"/>
                <w:b/>
                <w:color w:val="1F2937"/>
                <w:sz w:val="18"/>
              </w:rPr>
              <w:t>Unknown customer IDs</w:t>
            </w:r>
          </w:p>
        </w:tc>
        <w:tc>
          <w:tcPr>
            <w:tcW w:type="dxa" w:w="1728"/>
            <w:vAlign w:val="center"/>
          </w:tcPr>
          <w:p>
            <w:pPr>
              <w:spacing w:after="0"/>
            </w:pPr>
            <w:r/>
            <w:r>
              <w:rPr>
                <w:rFonts w:ascii="Aptos" w:hAnsi="Aptos"/>
                <w:b w:val="0"/>
                <w:color w:val="1F2937"/>
                <w:sz w:val="18"/>
              </w:rPr>
              <w:t>26</w:t>
            </w:r>
          </w:p>
        </w:tc>
        <w:tc>
          <w:tcPr>
            <w:tcW w:type="dxa" w:w="4464"/>
            <w:vAlign w:val="center"/>
          </w:tcPr>
          <w:p>
            <w:pPr>
              <w:spacing w:after="0"/>
            </w:pPr>
            <w:r/>
            <w:r>
              <w:rPr>
                <w:rFonts w:ascii="Aptos" w:hAnsi="Aptos"/>
                <w:b w:val="0"/>
                <w:color w:val="1F2937"/>
                <w:sz w:val="18"/>
              </w:rPr>
              <w:t>Excluded from churn modelling</w:t>
            </w:r>
          </w:p>
        </w:tc>
      </w:tr>
      <w:tr>
        <w:tc>
          <w:tcPr>
            <w:tcW w:type="dxa" w:w="4320"/>
            <w:vAlign w:val="center"/>
          </w:tcPr>
          <w:p>
            <w:pPr>
              <w:spacing w:after="0"/>
            </w:pPr>
            <w:r/>
            <w:r>
              <w:rPr>
                <w:rFonts w:ascii="Aptos" w:hAnsi="Aptos"/>
                <w:b/>
                <w:color w:val="1F2937"/>
                <w:sz w:val="18"/>
              </w:rPr>
              <w:t>Unknown products</w:t>
            </w:r>
          </w:p>
        </w:tc>
        <w:tc>
          <w:tcPr>
            <w:tcW w:type="dxa" w:w="1728"/>
            <w:vAlign w:val="center"/>
          </w:tcPr>
          <w:p>
            <w:pPr>
              <w:spacing w:after="0"/>
            </w:pPr>
            <w:r/>
            <w:r>
              <w:rPr>
                <w:rFonts w:ascii="Aptos" w:hAnsi="Aptos"/>
                <w:b w:val="0"/>
                <w:color w:val="1F2937"/>
                <w:sz w:val="18"/>
              </w:rPr>
              <w:t>7</w:t>
            </w:r>
          </w:p>
        </w:tc>
        <w:tc>
          <w:tcPr>
            <w:tcW w:type="dxa" w:w="4464"/>
            <w:vAlign w:val="center"/>
          </w:tcPr>
          <w:p>
            <w:pPr>
              <w:spacing w:after="0"/>
            </w:pPr>
            <w:r/>
            <w:r>
              <w:rPr>
                <w:rFonts w:ascii="Aptos" w:hAnsi="Aptos"/>
                <w:b w:val="0"/>
                <w:color w:val="1F2937"/>
                <w:sz w:val="18"/>
              </w:rPr>
              <w:t>Tracked as data-quality gaps</w:t>
            </w:r>
          </w:p>
        </w:tc>
      </w:tr>
      <w:tr>
        <w:tc>
          <w:tcPr>
            <w:tcW w:type="dxa" w:w="4320"/>
            <w:vAlign w:val="center"/>
          </w:tcPr>
          <w:p>
            <w:pPr>
              <w:spacing w:after="0"/>
            </w:pPr>
            <w:r/>
            <w:r>
              <w:rPr>
                <w:rFonts w:ascii="Aptos" w:hAnsi="Aptos"/>
                <w:b/>
                <w:color w:val="1F2937"/>
                <w:sz w:val="18"/>
              </w:rPr>
              <w:t>Unknown regions</w:t>
            </w:r>
          </w:p>
        </w:tc>
        <w:tc>
          <w:tcPr>
            <w:tcW w:type="dxa" w:w="1728"/>
            <w:vAlign w:val="center"/>
          </w:tcPr>
          <w:p>
            <w:pPr>
              <w:spacing w:after="0"/>
            </w:pPr>
            <w:r/>
            <w:r>
              <w:rPr>
                <w:rFonts w:ascii="Aptos" w:hAnsi="Aptos"/>
                <w:b w:val="0"/>
                <w:color w:val="1F2937"/>
                <w:sz w:val="18"/>
              </w:rPr>
              <w:t>16</w:t>
            </w:r>
          </w:p>
        </w:tc>
        <w:tc>
          <w:tcPr>
            <w:tcW w:type="dxa" w:w="4464"/>
            <w:vAlign w:val="center"/>
          </w:tcPr>
          <w:p>
            <w:pPr>
              <w:spacing w:after="0"/>
            </w:pPr>
            <w:r/>
            <w:r>
              <w:rPr>
                <w:rFonts w:ascii="Aptos" w:hAnsi="Aptos"/>
                <w:b w:val="0"/>
                <w:color w:val="1F2937"/>
                <w:sz w:val="18"/>
              </w:rPr>
              <w:t>Tracked as data-quality gaps</w:t>
            </w:r>
          </w:p>
        </w:tc>
      </w:tr>
      <w:tr>
        <w:tc>
          <w:tcPr>
            <w:tcW w:type="dxa" w:w="4320"/>
            <w:vAlign w:val="center"/>
          </w:tcPr>
          <w:p>
            <w:pPr>
              <w:spacing w:after="0"/>
            </w:pPr>
            <w:r/>
            <w:r>
              <w:rPr>
                <w:rFonts w:ascii="Aptos" w:hAnsi="Aptos"/>
                <w:b/>
                <w:color w:val="1F2937"/>
                <w:sz w:val="18"/>
              </w:rPr>
              <w:t>Model-eligible rows</w:t>
            </w:r>
          </w:p>
        </w:tc>
        <w:tc>
          <w:tcPr>
            <w:tcW w:type="dxa" w:w="1728"/>
            <w:vAlign w:val="center"/>
          </w:tcPr>
          <w:p>
            <w:pPr>
              <w:spacing w:after="0"/>
            </w:pPr>
            <w:r/>
            <w:r>
              <w:rPr>
                <w:rFonts w:ascii="Aptos" w:hAnsi="Aptos"/>
                <w:b w:val="0"/>
                <w:color w:val="1F2937"/>
                <w:sz w:val="18"/>
              </w:rPr>
              <w:t>723</w:t>
            </w:r>
          </w:p>
        </w:tc>
        <w:tc>
          <w:tcPr>
            <w:tcW w:type="dxa" w:w="4464"/>
            <w:vAlign w:val="center"/>
          </w:tcPr>
          <w:p>
            <w:pPr>
              <w:spacing w:after="0"/>
            </w:pPr>
            <w:r/>
            <w:r>
              <w:rPr>
                <w:rFonts w:ascii="Aptos" w:hAnsi="Aptos"/>
                <w:b w:val="0"/>
                <w:color w:val="1F2937"/>
                <w:sz w:val="18"/>
              </w:rPr>
              <w:t>Valid date + non-missing revenue + known customer</w:t>
            </w:r>
          </w:p>
        </w:tc>
      </w:tr>
    </w:tbl>
    <w:p>
      <w:r>
        <w:br w:type="page"/>
      </w:r>
    </w:p>
    <w:p>
      <w:pPr>
        <w:pStyle w:val="Heading1"/>
      </w:pPr>
      <w:r>
        <w:t>4. Exploratory Sales Analytics</w:t>
      </w:r>
    </w:p>
    <w:p>
      <w:r>
        <w:t>The Sales Analytics tab converts the cleaned dataset into interactive management views. The dashboard supports filtering by region, category, and customer type before calculating the KPI cards and sales visualisations.</w:t>
      </w:r>
    </w:p>
    <w:p>
      <w:pPr>
        <w:jc w:val="center"/>
      </w:pPr>
      <w:r>
        <w:drawing>
          <wp:inline xmlns:a="http://schemas.openxmlformats.org/drawingml/2006/main" xmlns:pic="http://schemas.openxmlformats.org/drawingml/2006/picture">
            <wp:extent cx="5989320" cy="3369383"/>
            <wp:docPr id="2" name="Picture 2"/>
            <wp:cNvGraphicFramePr>
              <a:graphicFrameLocks noChangeAspect="1"/>
            </wp:cNvGraphicFramePr>
            <a:graphic>
              <a:graphicData uri="http://schemas.openxmlformats.org/drawingml/2006/picture">
                <pic:pic>
                  <pic:nvPicPr>
                    <pic:cNvPr id="0" name="image(20260923-062417).png"/>
                    <pic:cNvPicPr/>
                  </pic:nvPicPr>
                  <pic:blipFill>
                    <a:blip r:embed="rId12"/>
                    <a:stretch>
                      <a:fillRect/>
                    </a:stretch>
                  </pic:blipFill>
                  <pic:spPr>
                    <a:xfrm>
                      <a:off x="0" y="0"/>
                      <a:ext cx="5989320" cy="3369383"/>
                    </a:xfrm>
                    <a:prstGeom prst="rect"/>
                  </pic:spPr>
                </pic:pic>
              </a:graphicData>
            </a:graphic>
          </wp:inline>
        </w:drawing>
      </w:r>
    </w:p>
    <w:p>
      <w:pPr>
        <w:pStyle w:val="CaptionCustom"/>
        <w:jc w:val="center"/>
      </w:pPr>
      <w:r>
        <w:t>Figure 2. Dashboard overview with KPI cards, interactive filters, and the Sales Analytics section.</w:t>
      </w:r>
    </w:p>
    <w:p>
      <w:pPr>
        <w:jc w:val="center"/>
      </w:pPr>
      <w:r>
        <w:drawing>
          <wp:inline xmlns:a="http://schemas.openxmlformats.org/drawingml/2006/main" xmlns:pic="http://schemas.openxmlformats.org/drawingml/2006/picture">
            <wp:extent cx="5989320" cy="3367627"/>
            <wp:docPr id="3" name="Picture 3"/>
            <wp:cNvGraphicFramePr>
              <a:graphicFrameLocks noChangeAspect="1"/>
            </wp:cNvGraphicFramePr>
            <a:graphic>
              <a:graphicData uri="http://schemas.openxmlformats.org/drawingml/2006/picture">
                <pic:pic>
                  <pic:nvPicPr>
                    <pic:cNvPr id="0" name="image(20260923-063501).png"/>
                    <pic:cNvPicPr/>
                  </pic:nvPicPr>
                  <pic:blipFill>
                    <a:blip r:embed="rId13"/>
                    <a:stretch>
                      <a:fillRect/>
                    </a:stretch>
                  </pic:blipFill>
                  <pic:spPr>
                    <a:xfrm>
                      <a:off x="0" y="0"/>
                      <a:ext cx="5989320" cy="3367627"/>
                    </a:xfrm>
                    <a:prstGeom prst="rect"/>
                  </pic:spPr>
                </pic:pic>
              </a:graphicData>
            </a:graphic>
          </wp:inline>
        </w:drawing>
      </w:r>
    </w:p>
    <w:p>
      <w:pPr>
        <w:pStyle w:val="CaptionCustom"/>
        <w:jc w:val="center"/>
      </w:pPr>
      <w:r>
        <w:t>Figure 3. Sales visualisations covering revenue by category/region, top products by revenue/profit, and customer/profit distributions.</w:t>
      </w:r>
    </w:p>
    <w:tbl>
      <w:tblPr>
        <w:tblStyle w:val="TableGrid"/>
        <w:tblW w:type="auto" w:w="0"/>
        <w:jc w:val="center"/>
        <w:tblLook w:firstColumn="1" w:firstRow="1" w:lastColumn="0" w:lastRow="0" w:noHBand="0" w:noVBand="1" w:val="04A0"/>
      </w:tblPr>
      <w:tblGrid>
        <w:gridCol w:w="5083"/>
        <w:gridCol w:w="5083"/>
      </w:tblGrid>
      <w:tr>
        <w:tc>
          <w:tcPr>
            <w:tcW w:type="dxa" w:w="4320"/>
            <w:vAlign w:val="center"/>
            <w:shd w:fill="2E6F9E"/>
          </w:tcPr>
          <w:p>
            <w:pPr>
              <w:spacing w:after="0"/>
            </w:pPr>
            <w:r/>
            <w:r>
              <w:rPr>
                <w:rFonts w:ascii="Aptos" w:hAnsi="Aptos"/>
                <w:b/>
                <w:color w:val="FFFFFF"/>
                <w:sz w:val="19"/>
              </w:rPr>
              <w:t>Analytical view</w:t>
            </w:r>
          </w:p>
        </w:tc>
        <w:tc>
          <w:tcPr>
            <w:tcW w:type="dxa" w:w="5040"/>
            <w:vAlign w:val="center"/>
            <w:shd w:fill="2E6F9E"/>
          </w:tcPr>
          <w:p>
            <w:pPr>
              <w:spacing w:after="0"/>
            </w:pPr>
            <w:r/>
            <w:r>
              <w:rPr>
                <w:rFonts w:ascii="Aptos" w:hAnsi="Aptos"/>
                <w:b/>
                <w:color w:val="FFFFFF"/>
                <w:sz w:val="19"/>
              </w:rPr>
              <w:t>Purpose</w:t>
            </w:r>
          </w:p>
        </w:tc>
      </w:tr>
      <w:tr>
        <w:tc>
          <w:tcPr>
            <w:tcW w:type="dxa" w:w="4320"/>
            <w:vAlign w:val="center"/>
          </w:tcPr>
          <w:p>
            <w:pPr>
              <w:spacing w:after="0"/>
            </w:pPr>
            <w:r/>
            <w:r>
              <w:rPr>
                <w:rFonts w:ascii="Aptos" w:hAnsi="Aptos"/>
                <w:b/>
                <w:color w:val="1F2937"/>
                <w:sz w:val="18"/>
              </w:rPr>
              <w:t>Monthly revenue trend</w:t>
            </w:r>
          </w:p>
        </w:tc>
        <w:tc>
          <w:tcPr>
            <w:tcW w:type="dxa" w:w="5040"/>
            <w:vAlign w:val="center"/>
          </w:tcPr>
          <w:p>
            <w:pPr>
              <w:spacing w:after="0"/>
            </w:pPr>
            <w:r/>
            <w:r>
              <w:rPr>
                <w:rFonts w:ascii="Aptos" w:hAnsi="Aptos"/>
                <w:b w:val="0"/>
                <w:color w:val="1F2937"/>
                <w:sz w:val="18"/>
              </w:rPr>
              <w:t>Shows revenue over valid-date transactions only.</w:t>
            </w:r>
          </w:p>
        </w:tc>
      </w:tr>
      <w:tr>
        <w:tc>
          <w:tcPr>
            <w:tcW w:type="dxa" w:w="4320"/>
            <w:vAlign w:val="center"/>
          </w:tcPr>
          <w:p>
            <w:pPr>
              <w:spacing w:after="0"/>
            </w:pPr>
            <w:r/>
            <w:r>
              <w:rPr>
                <w:rFonts w:ascii="Aptos" w:hAnsi="Aptos"/>
                <w:b/>
                <w:color w:val="1F2937"/>
                <w:sz w:val="18"/>
              </w:rPr>
              <w:t>Revenue by category</w:t>
            </w:r>
          </w:p>
        </w:tc>
        <w:tc>
          <w:tcPr>
            <w:tcW w:type="dxa" w:w="5040"/>
            <w:vAlign w:val="center"/>
          </w:tcPr>
          <w:p>
            <w:pPr>
              <w:spacing w:after="0"/>
            </w:pPr>
            <w:r/>
            <w:r>
              <w:rPr>
                <w:rFonts w:ascii="Aptos" w:hAnsi="Aptos"/>
                <w:b w:val="0"/>
                <w:color w:val="1F2937"/>
                <w:sz w:val="18"/>
              </w:rPr>
              <w:t>Identifies category-level revenue concentration.</w:t>
            </w:r>
          </w:p>
        </w:tc>
      </w:tr>
      <w:tr>
        <w:tc>
          <w:tcPr>
            <w:tcW w:type="dxa" w:w="4320"/>
            <w:vAlign w:val="center"/>
          </w:tcPr>
          <w:p>
            <w:pPr>
              <w:spacing w:after="0"/>
            </w:pPr>
            <w:r/>
            <w:r>
              <w:rPr>
                <w:rFonts w:ascii="Aptos" w:hAnsi="Aptos"/>
                <w:b/>
                <w:color w:val="1F2937"/>
                <w:sz w:val="18"/>
              </w:rPr>
              <w:t>Revenue by region</w:t>
            </w:r>
          </w:p>
        </w:tc>
        <w:tc>
          <w:tcPr>
            <w:tcW w:type="dxa" w:w="5040"/>
            <w:vAlign w:val="center"/>
          </w:tcPr>
          <w:p>
            <w:pPr>
              <w:spacing w:after="0"/>
            </w:pPr>
            <w:r/>
            <w:r>
              <w:rPr>
                <w:rFonts w:ascii="Aptos" w:hAnsi="Aptos"/>
                <w:b w:val="0"/>
                <w:color w:val="1F2937"/>
                <w:sz w:val="18"/>
              </w:rPr>
              <w:t>Compares geographic revenue contribution.</w:t>
            </w:r>
          </w:p>
        </w:tc>
      </w:tr>
      <w:tr>
        <w:tc>
          <w:tcPr>
            <w:tcW w:type="dxa" w:w="4320"/>
            <w:vAlign w:val="center"/>
          </w:tcPr>
          <w:p>
            <w:pPr>
              <w:spacing w:after="0"/>
            </w:pPr>
            <w:r/>
            <w:r>
              <w:rPr>
                <w:rFonts w:ascii="Aptos" w:hAnsi="Aptos"/>
                <w:b/>
                <w:color w:val="1F2937"/>
                <w:sz w:val="18"/>
              </w:rPr>
              <w:t>Top products by revenue</w:t>
            </w:r>
          </w:p>
        </w:tc>
        <w:tc>
          <w:tcPr>
            <w:tcW w:type="dxa" w:w="5040"/>
            <w:vAlign w:val="center"/>
          </w:tcPr>
          <w:p>
            <w:pPr>
              <w:spacing w:after="0"/>
            </w:pPr>
            <w:r/>
            <w:r>
              <w:rPr>
                <w:rFonts w:ascii="Aptos" w:hAnsi="Aptos"/>
                <w:b w:val="0"/>
                <w:color w:val="1F2937"/>
                <w:sz w:val="18"/>
              </w:rPr>
              <w:t>Highlights products with the largest revenue contribution.</w:t>
            </w:r>
          </w:p>
        </w:tc>
      </w:tr>
      <w:tr>
        <w:tc>
          <w:tcPr>
            <w:tcW w:type="dxa" w:w="4320"/>
            <w:vAlign w:val="center"/>
          </w:tcPr>
          <w:p>
            <w:pPr>
              <w:spacing w:after="0"/>
            </w:pPr>
            <w:r/>
            <w:r>
              <w:rPr>
                <w:rFonts w:ascii="Aptos" w:hAnsi="Aptos"/>
                <w:b/>
                <w:color w:val="1F2937"/>
                <w:sz w:val="18"/>
              </w:rPr>
              <w:t>Top products by profit</w:t>
            </w:r>
          </w:p>
        </w:tc>
        <w:tc>
          <w:tcPr>
            <w:tcW w:type="dxa" w:w="5040"/>
            <w:vAlign w:val="center"/>
          </w:tcPr>
          <w:p>
            <w:pPr>
              <w:spacing w:after="0"/>
            </w:pPr>
            <w:r/>
            <w:r>
              <w:rPr>
                <w:rFonts w:ascii="Aptos" w:hAnsi="Aptos"/>
                <w:b w:val="0"/>
                <w:color w:val="1F2937"/>
                <w:sz w:val="18"/>
              </w:rPr>
              <w:t>Shows products contributing most to profit.</w:t>
            </w:r>
          </w:p>
        </w:tc>
      </w:tr>
      <w:tr>
        <w:tc>
          <w:tcPr>
            <w:tcW w:type="dxa" w:w="4320"/>
            <w:vAlign w:val="center"/>
          </w:tcPr>
          <w:p>
            <w:pPr>
              <w:spacing w:after="0"/>
            </w:pPr>
            <w:r/>
            <w:r>
              <w:rPr>
                <w:rFonts w:ascii="Aptos" w:hAnsi="Aptos"/>
                <w:b/>
                <w:color w:val="1F2937"/>
                <w:sz w:val="18"/>
              </w:rPr>
              <w:t>Customer / profit distributions</w:t>
            </w:r>
          </w:p>
        </w:tc>
        <w:tc>
          <w:tcPr>
            <w:tcW w:type="dxa" w:w="5040"/>
            <w:vAlign w:val="center"/>
          </w:tcPr>
          <w:p>
            <w:pPr>
              <w:spacing w:after="0"/>
            </w:pPr>
            <w:r/>
            <w:r>
              <w:rPr>
                <w:rFonts w:ascii="Aptos" w:hAnsi="Aptos"/>
                <w:b w:val="0"/>
                <w:color w:val="1F2937"/>
                <w:sz w:val="18"/>
              </w:rPr>
              <w:t>Summarise repeat/new/unknown customer mix and profit status.</w:t>
            </w:r>
          </w:p>
        </w:tc>
      </w:tr>
    </w:tbl>
    <w:p>
      <w:pPr>
        <w:pStyle w:val="Heading1"/>
      </w:pPr>
      <w:r>
        <w:t>5. Customer Churn Methodology</w:t>
      </w:r>
    </w:p>
    <w:p>
      <w:r>
        <w:t>The churn module uses a leakage-safe RFM design. Eligible rows require a valid order date, non-missing revenue, and a known customer identifier. The latest eligible date defines a historical cutoff 180 days earlier. Historical transactions are transformed into customer-level RFM features, while future-window activity defines the churn target.</w:t>
      </w:r>
    </w:p>
    <w:p>
      <w:pPr>
        <w:pStyle w:val="ListNumber"/>
        <w:spacing w:after="40"/>
      </w:pPr>
      <w:r>
        <w:t>Filter the cleaned data to churn-model eligible transactions.</w:t>
      </w:r>
    </w:p>
    <w:p>
      <w:pPr>
        <w:pStyle w:val="ListNumber"/>
        <w:spacing w:after="40"/>
      </w:pPr>
      <w:r>
        <w:t>Determine the latest valid date and the historical cutoff.</w:t>
      </w:r>
    </w:p>
    <w:p>
      <w:pPr>
        <w:pStyle w:val="ListNumber"/>
        <w:spacing w:after="40"/>
      </w:pPr>
      <w:r>
        <w:t>Aggregate historical transactions to customer-level Recency, Frequency, Monetary Value, and Average Order Value.</w:t>
      </w:r>
    </w:p>
    <w:p>
      <w:pPr>
        <w:pStyle w:val="ListNumber"/>
        <w:spacing w:after="40"/>
      </w:pPr>
      <w:r>
        <w:t>Label customers as active or churned based on future-window purchase activity.</w:t>
      </w:r>
    </w:p>
    <w:p>
      <w:pPr>
        <w:pStyle w:val="ListNumber"/>
        <w:spacing w:after="40"/>
      </w:pPr>
      <w:r>
        <w:t>Split the feature matrix 75/25 using stratification and `random_state=42`.</w:t>
      </w:r>
    </w:p>
    <w:p>
      <w:pPr>
        <w:pStyle w:val="ListNumber"/>
        <w:spacing w:after="40"/>
      </w:pPr>
      <w:r>
        <w:t>Scale features with StandardScaler and train Logistic Regression.</w:t>
      </w:r>
    </w:p>
    <w:p>
      <w:pPr>
        <w:pStyle w:val="ListNumber"/>
        <w:spacing w:after="40"/>
      </w:pPr>
      <w:r>
        <w:t>Score customers, assign Low / Medium / High Risk levels, and map each level to a recommended action.</w:t>
      </w:r>
    </w:p>
    <w:p>
      <w:pPr>
        <w:jc w:val="center"/>
      </w:pPr>
      <w:r>
        <w:drawing>
          <wp:inline xmlns:a="http://schemas.openxmlformats.org/drawingml/2006/main" xmlns:pic="http://schemas.openxmlformats.org/drawingml/2006/picture">
            <wp:extent cx="5303520" cy="2982021"/>
            <wp:docPr id="4" name="Picture 4"/>
            <wp:cNvGraphicFramePr>
              <a:graphicFrameLocks noChangeAspect="1"/>
            </wp:cNvGraphicFramePr>
            <a:graphic>
              <a:graphicData uri="http://schemas.openxmlformats.org/drawingml/2006/picture">
                <pic:pic>
                  <pic:nvPicPr>
                    <pic:cNvPr id="0" name="image(20260923-062522).png"/>
                    <pic:cNvPicPr/>
                  </pic:nvPicPr>
                  <pic:blipFill>
                    <a:blip r:embed="rId14"/>
                    <a:stretch>
                      <a:fillRect/>
                    </a:stretch>
                  </pic:blipFill>
                  <pic:spPr>
                    <a:xfrm>
                      <a:off x="0" y="0"/>
                      <a:ext cx="5303520" cy="2982021"/>
                    </a:xfrm>
                    <a:prstGeom prst="rect"/>
                  </pic:spPr>
                </pic:pic>
              </a:graphicData>
            </a:graphic>
          </wp:inline>
        </w:drawing>
      </w:r>
    </w:p>
    <w:p>
      <w:pPr>
        <w:pStyle w:val="CaptionCustom"/>
        <w:jc w:val="center"/>
      </w:pPr>
      <w:r>
        <w:t>Figure 4. Churn Analytics tab showing validated model metrics and visual diagnostics.</w:t>
      </w:r>
    </w:p>
    <w:p>
      <w:pPr>
        <w:pStyle w:val="Heading2"/>
      </w:pPr>
      <w:r>
        <w:t>5.1 Model Specification &amp; Interpretation</w:t>
      </w:r>
    </w:p>
    <w:p>
      <w:r>
        <w:t>The model specification shown below mirrors the project implementation and documentation. The dashboard presents the validated results while the reusable training pipeline remains in churn_model.py.</w:t>
      </w:r>
    </w:p>
    <w:tbl>
      <w:tblPr>
        <w:tblStyle w:val="TableGrid"/>
        <w:tblW w:type="auto" w:w="0"/>
        <w:jc w:val="center"/>
        <w:tblLook w:firstColumn="1" w:firstRow="1" w:lastColumn="0" w:lastRow="0" w:noHBand="0" w:noVBand="1" w:val="04A0"/>
      </w:tblPr>
      <w:tblGrid>
        <w:gridCol w:w="5083"/>
        <w:gridCol w:w="5083"/>
      </w:tblGrid>
      <w:tr>
        <w:tc>
          <w:tcPr>
            <w:tcW w:type="dxa" w:w="4320"/>
            <w:vAlign w:val="center"/>
            <w:shd w:fill="143A52"/>
          </w:tcPr>
          <w:p>
            <w:pPr>
              <w:spacing w:after="0"/>
            </w:pPr>
            <w:r/>
            <w:r>
              <w:rPr>
                <w:rFonts w:ascii="Aptos" w:hAnsi="Aptos"/>
                <w:b/>
                <w:color w:val="FFFFFF"/>
                <w:sz w:val="19"/>
              </w:rPr>
              <w:t>Metric / specification</w:t>
            </w:r>
          </w:p>
        </w:tc>
        <w:tc>
          <w:tcPr>
            <w:tcW w:type="dxa" w:w="5040"/>
            <w:vAlign w:val="center"/>
            <w:shd w:fill="143A52"/>
          </w:tcPr>
          <w:p>
            <w:pPr>
              <w:spacing w:after="0"/>
            </w:pPr>
            <w:r/>
            <w:r>
              <w:rPr>
                <w:rFonts w:ascii="Aptos" w:hAnsi="Aptos"/>
                <w:b/>
                <w:color w:val="FFFFFF"/>
                <w:sz w:val="19"/>
              </w:rPr>
              <w:t>Value</w:t>
            </w:r>
          </w:p>
        </w:tc>
      </w:tr>
      <w:tr>
        <w:tc>
          <w:tcPr>
            <w:tcW w:type="dxa" w:w="4320"/>
            <w:vAlign w:val="center"/>
          </w:tcPr>
          <w:p>
            <w:pPr>
              <w:spacing w:after="0"/>
            </w:pPr>
            <w:r/>
            <w:r>
              <w:rPr>
                <w:rFonts w:ascii="Aptos" w:hAnsi="Aptos"/>
                <w:b/>
                <w:color w:val="1F2937"/>
                <w:sz w:val="18"/>
              </w:rPr>
              <w:t>Algorithm</w:t>
            </w:r>
          </w:p>
        </w:tc>
        <w:tc>
          <w:tcPr>
            <w:tcW w:type="dxa" w:w="5040"/>
            <w:vAlign w:val="center"/>
          </w:tcPr>
          <w:p>
            <w:pPr>
              <w:spacing w:after="0"/>
            </w:pPr>
            <w:r/>
            <w:r>
              <w:rPr>
                <w:rFonts w:ascii="Aptos" w:hAnsi="Aptos"/>
                <w:b w:val="0"/>
                <w:color w:val="1F2937"/>
                <w:sz w:val="18"/>
              </w:rPr>
              <w:t>Logistic Regression</w:t>
            </w:r>
          </w:p>
        </w:tc>
      </w:tr>
      <w:tr>
        <w:tc>
          <w:tcPr>
            <w:tcW w:type="dxa" w:w="4320"/>
            <w:vAlign w:val="center"/>
          </w:tcPr>
          <w:p>
            <w:pPr>
              <w:spacing w:after="0"/>
            </w:pPr>
            <w:r/>
            <w:r>
              <w:rPr>
                <w:rFonts w:ascii="Aptos" w:hAnsi="Aptos"/>
                <w:b/>
                <w:color w:val="1F2937"/>
                <w:sz w:val="18"/>
              </w:rPr>
              <w:t>Features</w:t>
            </w:r>
          </w:p>
        </w:tc>
        <w:tc>
          <w:tcPr>
            <w:tcW w:type="dxa" w:w="5040"/>
            <w:vAlign w:val="center"/>
          </w:tcPr>
          <w:p>
            <w:pPr>
              <w:spacing w:after="0"/>
            </w:pPr>
            <w:r/>
            <w:r>
              <w:rPr>
                <w:rFonts w:ascii="Aptos" w:hAnsi="Aptos"/>
                <w:b w:val="0"/>
                <w:color w:val="1F2937"/>
                <w:sz w:val="18"/>
              </w:rPr>
              <w:t>Recency, Frequency, Monetary Value, Average Order Value</w:t>
            </w:r>
          </w:p>
        </w:tc>
      </w:tr>
      <w:tr>
        <w:tc>
          <w:tcPr>
            <w:tcW w:type="dxa" w:w="4320"/>
            <w:vAlign w:val="center"/>
          </w:tcPr>
          <w:p>
            <w:pPr>
              <w:spacing w:after="0"/>
            </w:pPr>
            <w:r/>
            <w:r>
              <w:rPr>
                <w:rFonts w:ascii="Aptos" w:hAnsi="Aptos"/>
                <w:b/>
                <w:color w:val="1F2937"/>
                <w:sz w:val="18"/>
              </w:rPr>
              <w:t>Train / test split</w:t>
            </w:r>
          </w:p>
        </w:tc>
        <w:tc>
          <w:tcPr>
            <w:tcW w:type="dxa" w:w="5040"/>
            <w:vAlign w:val="center"/>
          </w:tcPr>
          <w:p>
            <w:pPr>
              <w:spacing w:after="0"/>
            </w:pPr>
            <w:r/>
            <w:r>
              <w:rPr>
                <w:rFonts w:ascii="Aptos" w:hAnsi="Aptos"/>
                <w:b w:val="0"/>
                <w:color w:val="1F2937"/>
                <w:sz w:val="18"/>
              </w:rPr>
              <w:t>75% / 25%, stratified, random_state=42</w:t>
            </w:r>
          </w:p>
        </w:tc>
      </w:tr>
      <w:tr>
        <w:tc>
          <w:tcPr>
            <w:tcW w:type="dxa" w:w="4320"/>
            <w:vAlign w:val="center"/>
          </w:tcPr>
          <w:p>
            <w:pPr>
              <w:spacing w:after="0"/>
            </w:pPr>
            <w:r/>
            <w:r>
              <w:rPr>
                <w:rFonts w:ascii="Aptos" w:hAnsi="Aptos"/>
                <w:b/>
                <w:color w:val="1F2937"/>
                <w:sz w:val="18"/>
              </w:rPr>
              <w:t>Accuracy</w:t>
            </w:r>
          </w:p>
        </w:tc>
        <w:tc>
          <w:tcPr>
            <w:tcW w:type="dxa" w:w="5040"/>
            <w:vAlign w:val="center"/>
          </w:tcPr>
          <w:p>
            <w:pPr>
              <w:spacing w:after="0"/>
            </w:pPr>
            <w:r/>
            <w:r>
              <w:rPr>
                <w:rFonts w:ascii="Aptos" w:hAnsi="Aptos"/>
                <w:b w:val="0"/>
                <w:color w:val="1F2937"/>
                <w:sz w:val="18"/>
              </w:rPr>
              <w:t>61.70%</w:t>
            </w:r>
          </w:p>
        </w:tc>
      </w:tr>
      <w:tr>
        <w:tc>
          <w:tcPr>
            <w:tcW w:type="dxa" w:w="4320"/>
            <w:vAlign w:val="center"/>
          </w:tcPr>
          <w:p>
            <w:pPr>
              <w:spacing w:after="0"/>
            </w:pPr>
            <w:r/>
            <w:r>
              <w:rPr>
                <w:rFonts w:ascii="Aptos" w:hAnsi="Aptos"/>
                <w:b/>
                <w:color w:val="1F2937"/>
                <w:sz w:val="18"/>
              </w:rPr>
              <w:t>Precision</w:t>
            </w:r>
          </w:p>
        </w:tc>
        <w:tc>
          <w:tcPr>
            <w:tcW w:type="dxa" w:w="5040"/>
            <w:vAlign w:val="center"/>
          </w:tcPr>
          <w:p>
            <w:pPr>
              <w:spacing w:after="0"/>
            </w:pPr>
            <w:r/>
            <w:r>
              <w:rPr>
                <w:rFonts w:ascii="Aptos" w:hAnsi="Aptos"/>
                <w:b w:val="0"/>
                <w:color w:val="1F2937"/>
                <w:sz w:val="18"/>
              </w:rPr>
              <w:t>75.00%</w:t>
            </w:r>
          </w:p>
        </w:tc>
      </w:tr>
      <w:tr>
        <w:tc>
          <w:tcPr>
            <w:tcW w:type="dxa" w:w="4320"/>
            <w:vAlign w:val="center"/>
          </w:tcPr>
          <w:p>
            <w:pPr>
              <w:spacing w:after="0"/>
            </w:pPr>
            <w:r/>
            <w:r>
              <w:rPr>
                <w:rFonts w:ascii="Aptos" w:hAnsi="Aptos"/>
                <w:b/>
                <w:color w:val="1F2937"/>
                <w:sz w:val="18"/>
              </w:rPr>
              <w:t>Recall</w:t>
            </w:r>
          </w:p>
        </w:tc>
        <w:tc>
          <w:tcPr>
            <w:tcW w:type="dxa" w:w="5040"/>
            <w:vAlign w:val="center"/>
          </w:tcPr>
          <w:p>
            <w:pPr>
              <w:spacing w:after="0"/>
            </w:pPr>
            <w:r/>
            <w:r>
              <w:rPr>
                <w:rFonts w:ascii="Aptos" w:hAnsi="Aptos"/>
                <w:b w:val="0"/>
                <w:color w:val="1F2937"/>
                <w:sz w:val="18"/>
              </w:rPr>
              <w:t>15.00%</w:t>
            </w:r>
          </w:p>
        </w:tc>
      </w:tr>
    </w:tbl>
    <w:p>
      <w:pPr>
        <w:pStyle w:val="ListBullet"/>
        <w:spacing w:after="40"/>
      </w:pPr>
      <w:r>
        <w:t>Precision of 75% means that, within the validation result, predicted churners were correct three quarters of the time.</w:t>
      </w:r>
    </w:p>
    <w:p>
      <w:pPr>
        <w:pStyle w:val="ListBullet"/>
        <w:spacing w:after="40"/>
      </w:pPr>
      <w:r>
        <w:t>Recall of 15% means the model identifies only a small fraction of actual churners; this is the main modelling limitation highlighted in the project.</w:t>
      </w:r>
    </w:p>
    <w:p>
      <w:pPr>
        <w:pStyle w:val="ListBullet"/>
        <w:spacing w:after="40"/>
      </w:pPr>
      <w:r>
        <w:t>Accuracy of 61.70% should be read alongside the class-imbalance context rather than used as the only evaluation measure.</w:t>
      </w:r>
    </w:p>
    <w:p>
      <w:pPr>
        <w:pStyle w:val="ListBullet"/>
        <w:spacing w:after="40"/>
      </w:pPr>
      <w:r>
        <w:t>The project therefore presents the model as a useful risk-screening component rather than a definitive churn decision system.</w:t>
      </w:r>
    </w:p>
    <w:p>
      <w:r>
        <w:br w:type="page"/>
      </w:r>
    </w:p>
    <w:p>
      <w:pPr>
        <w:pStyle w:val="Heading1"/>
      </w:pPr>
      <w:r>
        <w:t>6. Customer Risk Scoring</w:t>
      </w:r>
    </w:p>
    <w:p>
      <w:r>
        <w:t>The Customer Risk Table consumes the exported `churn_risk_table.csv` artifact produced from the validated modelling workflow. It exposes customer-level RFM values, churn probability, risk level, and recommended retention action. The dashboard screenshot recorded 47 scored customers in the displayed risk table, split between medium- and low-risk groups.</w:t>
      </w:r>
    </w:p>
    <w:p>
      <w:pPr>
        <w:jc w:val="center"/>
      </w:pPr>
      <w:r>
        <w:drawing>
          <wp:inline xmlns:a="http://schemas.openxmlformats.org/drawingml/2006/main" xmlns:pic="http://schemas.openxmlformats.org/drawingml/2006/picture">
            <wp:extent cx="5989320" cy="3367627"/>
            <wp:docPr id="5" name="Picture 5"/>
            <wp:cNvGraphicFramePr>
              <a:graphicFrameLocks noChangeAspect="1"/>
            </wp:cNvGraphicFramePr>
            <a:graphic>
              <a:graphicData uri="http://schemas.openxmlformats.org/drawingml/2006/picture">
                <pic:pic>
                  <pic:nvPicPr>
                    <pic:cNvPr id="0" name="image(20260923-062450).png"/>
                    <pic:cNvPicPr/>
                  </pic:nvPicPr>
                  <pic:blipFill>
                    <a:blip r:embed="rId15"/>
                    <a:stretch>
                      <a:fillRect/>
                    </a:stretch>
                  </pic:blipFill>
                  <pic:spPr>
                    <a:xfrm>
                      <a:off x="0" y="0"/>
                      <a:ext cx="5989320" cy="3367627"/>
                    </a:xfrm>
                    <a:prstGeom prst="rect"/>
                  </pic:spPr>
                </pic:pic>
              </a:graphicData>
            </a:graphic>
          </wp:inline>
        </w:drawing>
      </w:r>
    </w:p>
    <w:p>
      <w:pPr>
        <w:pStyle w:val="CaptionCustom"/>
        <w:jc w:val="center"/>
      </w:pPr>
      <w:r>
        <w:t>Figure 5. Customer Risk Table with customer-level RFM values, churn probability, risk level, and recommended action.</w:t>
      </w: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center"/>
            <w:shd w:fill="2E6F9E"/>
          </w:tcPr>
          <w:p>
            <w:pPr>
              <w:spacing w:after="0"/>
            </w:pPr>
            <w:r/>
            <w:r>
              <w:rPr>
                <w:rFonts w:ascii="Aptos" w:hAnsi="Aptos"/>
                <w:b/>
                <w:color w:val="FFFFFF"/>
                <w:sz w:val="19"/>
              </w:rPr>
              <w:t>Risk level</w:t>
            </w:r>
          </w:p>
        </w:tc>
        <w:tc>
          <w:tcPr>
            <w:tcW w:type="dxa" w:w="1584"/>
            <w:vAlign w:val="center"/>
            <w:shd w:fill="2E6F9E"/>
          </w:tcPr>
          <w:p>
            <w:pPr>
              <w:spacing w:after="0"/>
            </w:pPr>
            <w:r/>
            <w:r>
              <w:rPr>
                <w:rFonts w:ascii="Aptos" w:hAnsi="Aptos"/>
                <w:b/>
                <w:color w:val="FFFFFF"/>
                <w:sz w:val="19"/>
              </w:rPr>
              <w:t>Count</w:t>
            </w:r>
          </w:p>
        </w:tc>
        <w:tc>
          <w:tcPr>
            <w:tcW w:type="dxa" w:w="6048"/>
            <w:vAlign w:val="center"/>
            <w:shd w:fill="2E6F9E"/>
          </w:tcPr>
          <w:p>
            <w:pPr>
              <w:spacing w:after="0"/>
            </w:pPr>
            <w:r/>
            <w:r>
              <w:rPr>
                <w:rFonts w:ascii="Aptos" w:hAnsi="Aptos"/>
                <w:b/>
                <w:color w:val="FFFFFF"/>
                <w:sz w:val="19"/>
              </w:rPr>
              <w:t>Recommended action</w:t>
            </w:r>
          </w:p>
        </w:tc>
      </w:tr>
      <w:tr>
        <w:tc>
          <w:tcPr>
            <w:tcW w:type="dxa" w:w="3168"/>
            <w:vAlign w:val="center"/>
          </w:tcPr>
          <w:p>
            <w:pPr>
              <w:spacing w:after="0"/>
            </w:pPr>
            <w:r/>
            <w:r>
              <w:rPr>
                <w:rFonts w:ascii="Aptos" w:hAnsi="Aptos"/>
                <w:b/>
                <w:color w:val="1F2937"/>
                <w:sz w:val="18"/>
              </w:rPr>
              <w:t>High Risk</w:t>
            </w:r>
          </w:p>
        </w:tc>
        <w:tc>
          <w:tcPr>
            <w:tcW w:type="dxa" w:w="1584"/>
            <w:vAlign w:val="center"/>
          </w:tcPr>
          <w:p>
            <w:pPr>
              <w:spacing w:after="0"/>
            </w:pPr>
            <w:r/>
            <w:r>
              <w:rPr>
                <w:rFonts w:ascii="Aptos" w:hAnsi="Aptos"/>
                <w:b w:val="0"/>
                <w:color w:val="1F2937"/>
                <w:sz w:val="18"/>
              </w:rPr>
              <w:t>0</w:t>
            </w:r>
          </w:p>
        </w:tc>
        <w:tc>
          <w:tcPr>
            <w:tcW w:type="dxa" w:w="6048"/>
            <w:vAlign w:val="center"/>
          </w:tcPr>
          <w:p>
            <w:pPr>
              <w:spacing w:after="0"/>
            </w:pPr>
            <w:r/>
            <w:r>
              <w:rPr>
                <w:rFonts w:ascii="Aptos" w:hAnsi="Aptos"/>
                <w:b w:val="0"/>
                <w:color w:val="1F2937"/>
                <w:sz w:val="18"/>
              </w:rPr>
              <w:t>Immediate retention offer required</w:t>
            </w:r>
          </w:p>
        </w:tc>
      </w:tr>
      <w:tr>
        <w:tc>
          <w:tcPr>
            <w:tcW w:type="dxa" w:w="3168"/>
            <w:vAlign w:val="center"/>
          </w:tcPr>
          <w:p>
            <w:pPr>
              <w:spacing w:after="0"/>
            </w:pPr>
            <w:r/>
            <w:r>
              <w:rPr>
                <w:rFonts w:ascii="Aptos" w:hAnsi="Aptos"/>
                <w:b/>
                <w:color w:val="1F2937"/>
                <w:sz w:val="18"/>
              </w:rPr>
              <w:t>Medium Risk</w:t>
            </w:r>
          </w:p>
        </w:tc>
        <w:tc>
          <w:tcPr>
            <w:tcW w:type="dxa" w:w="1584"/>
            <w:vAlign w:val="center"/>
          </w:tcPr>
          <w:p>
            <w:pPr>
              <w:spacing w:after="0"/>
            </w:pPr>
            <w:r/>
            <w:r>
              <w:rPr>
                <w:rFonts w:ascii="Aptos" w:hAnsi="Aptos"/>
                <w:b w:val="0"/>
                <w:color w:val="1F2937"/>
                <w:sz w:val="18"/>
              </w:rPr>
              <w:t>26</w:t>
            </w:r>
          </w:p>
        </w:tc>
        <w:tc>
          <w:tcPr>
            <w:tcW w:type="dxa" w:w="6048"/>
            <w:vAlign w:val="center"/>
          </w:tcPr>
          <w:p>
            <w:pPr>
              <w:spacing w:after="0"/>
            </w:pPr>
            <w:r/>
            <w:r>
              <w:rPr>
                <w:rFonts w:ascii="Aptos" w:hAnsi="Aptos"/>
                <w:b w:val="0"/>
                <w:color w:val="1F2937"/>
                <w:sz w:val="18"/>
              </w:rPr>
              <w:t>Send re-engagement campaign</w:t>
            </w:r>
          </w:p>
        </w:tc>
      </w:tr>
      <w:tr>
        <w:tc>
          <w:tcPr>
            <w:tcW w:type="dxa" w:w="3168"/>
            <w:vAlign w:val="center"/>
          </w:tcPr>
          <w:p>
            <w:pPr>
              <w:spacing w:after="0"/>
            </w:pPr>
            <w:r/>
            <w:r>
              <w:rPr>
                <w:rFonts w:ascii="Aptos" w:hAnsi="Aptos"/>
                <w:b/>
                <w:color w:val="1F2937"/>
                <w:sz w:val="18"/>
              </w:rPr>
              <w:t>Low Risk</w:t>
            </w:r>
          </w:p>
        </w:tc>
        <w:tc>
          <w:tcPr>
            <w:tcW w:type="dxa" w:w="1584"/>
            <w:vAlign w:val="center"/>
          </w:tcPr>
          <w:p>
            <w:pPr>
              <w:spacing w:after="0"/>
            </w:pPr>
            <w:r/>
            <w:r>
              <w:rPr>
                <w:rFonts w:ascii="Aptos" w:hAnsi="Aptos"/>
                <w:b w:val="0"/>
                <w:color w:val="1F2937"/>
                <w:sz w:val="18"/>
              </w:rPr>
              <w:t>21</w:t>
            </w:r>
          </w:p>
        </w:tc>
        <w:tc>
          <w:tcPr>
            <w:tcW w:type="dxa" w:w="6048"/>
            <w:vAlign w:val="center"/>
          </w:tcPr>
          <w:p>
            <w:pPr>
              <w:spacing w:after="0"/>
            </w:pPr>
            <w:r/>
            <w:r>
              <w:rPr>
                <w:rFonts w:ascii="Aptos" w:hAnsi="Aptos"/>
                <w:b w:val="0"/>
                <w:color w:val="1F2937"/>
                <w:sz w:val="18"/>
              </w:rPr>
              <w:t>Monitor regularly</w:t>
            </w:r>
          </w:p>
        </w:tc>
      </w:tr>
    </w:tbl>
    <w:p>
      <w:pPr>
        <w:pStyle w:val="Heading1"/>
      </w:pPr>
      <w:r>
        <w:t>7. Business Findings</w:t>
      </w:r>
    </w:p>
    <w:p>
      <w:pPr>
        <w:jc w:val="center"/>
      </w:pPr>
      <w:r>
        <w:drawing>
          <wp:inline xmlns:a="http://schemas.openxmlformats.org/drawingml/2006/main" xmlns:pic="http://schemas.openxmlformats.org/drawingml/2006/picture">
            <wp:extent cx="5989320" cy="3367627"/>
            <wp:docPr id="6" name="Picture 6"/>
            <wp:cNvGraphicFramePr>
              <a:graphicFrameLocks noChangeAspect="1"/>
            </wp:cNvGraphicFramePr>
            <a:graphic>
              <a:graphicData uri="http://schemas.openxmlformats.org/drawingml/2006/picture">
                <pic:pic>
                  <pic:nvPicPr>
                    <pic:cNvPr id="0" name="image(20260923-062538).png"/>
                    <pic:cNvPicPr/>
                  </pic:nvPicPr>
                  <pic:blipFill>
                    <a:blip r:embed="rId16"/>
                    <a:stretch>
                      <a:fillRect/>
                    </a:stretch>
                  </pic:blipFill>
                  <pic:spPr>
                    <a:xfrm>
                      <a:off x="0" y="0"/>
                      <a:ext cx="5989320" cy="3367627"/>
                    </a:xfrm>
                    <a:prstGeom prst="rect"/>
                  </pic:spPr>
                </pic:pic>
              </a:graphicData>
            </a:graphic>
          </wp:inline>
        </w:drawing>
      </w:r>
    </w:p>
    <w:p>
      <w:pPr>
        <w:pStyle w:val="CaptionCustom"/>
        <w:jc w:val="center"/>
      </w:pPr>
      <w:r>
        <w:t>Figure 6. Business Insights section translating dashboard metrics into observations, risks, and practical recommendations.</w:t>
      </w:r>
    </w:p>
    <w:p>
      <w:pPr>
        <w:pStyle w:val="ListBullet"/>
        <w:spacing w:after="40"/>
      </w:pPr>
      <w:r>
        <w:t>Total revenue displayed by the dashboard is approximately ₹8.20 Cr, with total profit of approximately ₹1.52 Cr.</w:t>
      </w:r>
    </w:p>
    <w:p>
      <w:pPr>
        <w:pStyle w:val="ListBullet"/>
        <w:spacing w:after="40"/>
      </w:pPr>
      <w:r>
        <w:t>Electronics is the dominant revenue category in the dashboard insights, creating concentration exposure if demand in that category slows.</w:t>
      </w:r>
    </w:p>
    <w:p>
      <w:pPr>
        <w:pStyle w:val="ListBullet"/>
        <w:spacing w:after="40"/>
      </w:pPr>
      <w:r>
        <w:t>Repeat customers account for the majority of orders in the displayed dataset, indicating an established customer base.</w:t>
      </w:r>
    </w:p>
    <w:p>
      <w:pPr>
        <w:pStyle w:val="ListBullet"/>
        <w:spacing w:after="40"/>
      </w:pPr>
      <w:r>
        <w:t>The dataset contains substantial date-quality limitations, so time-series conclusions should be interpreted cautiously.</w:t>
      </w:r>
    </w:p>
    <w:p>
      <w:pPr>
        <w:pStyle w:val="ListBullet"/>
        <w:spacing w:after="40"/>
      </w:pPr>
      <w:r>
        <w:t>The churn model’s recall is 15%, so the model misses a large portion of actual churners even though precision is 75%; this is explicitly treated as a project limitation rather than hidden.</w:t>
      </w:r>
    </w:p>
    <w:p>
      <w:pPr>
        <w:pStyle w:val="Heading1"/>
      </w:pPr>
      <w:r>
        <w:t>8. Limitations &amp; Reproducibility Notes</w:t>
      </w:r>
    </w:p>
    <w:p>
      <w:pPr>
        <w:pStyle w:val="ListBullet"/>
        <w:spacing w:after="40"/>
      </w:pPr>
      <w:r>
        <w:t>The Streamlit dashboard is designed to run without importing scikit-learn at startup. It reads the exported churn-risk table for the dashboard view.</w:t>
      </w:r>
    </w:p>
    <w:p>
      <w:pPr>
        <w:pStyle w:val="ListBullet"/>
        <w:spacing w:after="40"/>
      </w:pPr>
      <w:r>
        <w:t>`churn_model.py` contains the full local Logistic Regression pipeline for reproducibility, but a fresh independent local re-run was not treated as a prerequisite for dashboard startup.</w:t>
      </w:r>
    </w:p>
    <w:p>
      <w:pPr>
        <w:pStyle w:val="ListBullet"/>
        <w:spacing w:after="40"/>
      </w:pPr>
      <w:r>
        <w:t>The project documentation specifies Python 3.11 and the pinned dependency set in `requirements.txt`. A fresh environment should be created from that file rather than reusing troubleshooting environments.</w:t>
      </w:r>
    </w:p>
    <w:p>
      <w:pPr>
        <w:pStyle w:val="ListBullet"/>
        <w:spacing w:after="40"/>
      </w:pPr>
      <w:r>
        <w:t>Invalid dates, missing revenue, and unknown entity values reduce the effective modelling sample and constrain trend analysis.</w:t>
      </w:r>
    </w:p>
    <w:p>
      <w:pPr>
        <w:pStyle w:val="ListBullet"/>
        <w:spacing w:after="40"/>
      </w:pPr>
      <w:r>
        <w:t>The project is a single-period snapshot; additional time coverage would improve seasonality and long-term churn analysis.</w:t>
      </w:r>
    </w:p>
    <w:p>
      <w:pPr>
        <w:pStyle w:val="Heading1"/>
      </w:pPr>
      <w:r>
        <w:t>9. Submission Package</w:t>
      </w:r>
    </w:p>
    <w:p>
      <w:r>
        <w:t>The internship submission form shown during the project setup requests four files plus a GitHub repository link. The final package should contain:</w:t>
      </w: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center"/>
            <w:shd w:fill="143A52"/>
          </w:tcPr>
          <w:p>
            <w:pPr>
              <w:spacing w:after="0"/>
            </w:pPr>
            <w:r/>
            <w:r>
              <w:rPr>
                <w:rFonts w:ascii="Aptos" w:hAnsi="Aptos"/>
                <w:b/>
                <w:color w:val="FFFFFF"/>
                <w:sz w:val="19"/>
              </w:rPr>
              <w:t>Submission item</w:t>
            </w:r>
          </w:p>
        </w:tc>
        <w:tc>
          <w:tcPr>
            <w:tcW w:type="dxa" w:w="3456"/>
            <w:vAlign w:val="center"/>
            <w:shd w:fill="143A52"/>
          </w:tcPr>
          <w:p>
            <w:pPr>
              <w:spacing w:after="0"/>
            </w:pPr>
            <w:r/>
            <w:r>
              <w:rPr>
                <w:rFonts w:ascii="Aptos" w:hAnsi="Aptos"/>
                <w:b/>
                <w:color w:val="FFFFFF"/>
                <w:sz w:val="19"/>
              </w:rPr>
              <w:t>Recommended file</w:t>
            </w:r>
          </w:p>
        </w:tc>
        <w:tc>
          <w:tcPr>
            <w:tcW w:type="dxa" w:w="4176"/>
            <w:vAlign w:val="center"/>
            <w:shd w:fill="143A52"/>
          </w:tcPr>
          <w:p>
            <w:pPr>
              <w:spacing w:after="0"/>
            </w:pPr>
            <w:r/>
            <w:r>
              <w:rPr>
                <w:rFonts w:ascii="Aptos" w:hAnsi="Aptos"/>
                <w:b/>
                <w:color w:val="FFFFFF"/>
                <w:sz w:val="19"/>
              </w:rPr>
              <w:t>Purpose</w:t>
            </w:r>
          </w:p>
        </w:tc>
      </w:tr>
      <w:tr>
        <w:tc>
          <w:tcPr>
            <w:tcW w:type="dxa" w:w="3168"/>
            <w:vAlign w:val="center"/>
          </w:tcPr>
          <w:p>
            <w:pPr>
              <w:spacing w:after="0"/>
            </w:pPr>
            <w:r/>
            <w:r>
              <w:rPr>
                <w:rFonts w:ascii="Aptos" w:hAnsi="Aptos"/>
                <w:b/>
                <w:color w:val="1F2937"/>
                <w:sz w:val="18"/>
              </w:rPr>
              <w:t>Code File</w:t>
            </w:r>
          </w:p>
        </w:tc>
        <w:tc>
          <w:tcPr>
            <w:tcW w:type="dxa" w:w="3456"/>
            <w:vAlign w:val="center"/>
          </w:tcPr>
          <w:p>
            <w:pPr>
              <w:spacing w:after="0"/>
            </w:pPr>
            <w:r/>
            <w:r>
              <w:rPr>
                <w:rFonts w:ascii="Aptos" w:hAnsi="Aptos"/>
                <w:b w:val="0"/>
                <w:color w:val="1F2937"/>
                <w:sz w:val="18"/>
              </w:rPr>
              <w:t>Customer_Sales_Churn_Analytics_Submission.ipynb</w:t>
            </w:r>
          </w:p>
        </w:tc>
        <w:tc>
          <w:tcPr>
            <w:tcW w:type="dxa" w:w="4176"/>
            <w:vAlign w:val="center"/>
          </w:tcPr>
          <w:p>
            <w:pPr>
              <w:spacing w:after="0"/>
            </w:pPr>
            <w:r/>
            <w:r>
              <w:rPr>
                <w:rFonts w:ascii="Aptos" w:hAnsi="Aptos"/>
                <w:b w:val="0"/>
                <w:color w:val="1F2937"/>
                <w:sz w:val="18"/>
              </w:rPr>
              <w:t>Complete notebook-format project code and validation sections</w:t>
            </w:r>
          </w:p>
        </w:tc>
      </w:tr>
      <w:tr>
        <w:tc>
          <w:tcPr>
            <w:tcW w:type="dxa" w:w="3168"/>
            <w:vAlign w:val="center"/>
          </w:tcPr>
          <w:p>
            <w:pPr>
              <w:spacing w:after="0"/>
            </w:pPr>
            <w:r/>
            <w:r>
              <w:rPr>
                <w:rFonts w:ascii="Aptos" w:hAnsi="Aptos"/>
                <w:b/>
                <w:color w:val="1F2937"/>
                <w:sz w:val="18"/>
              </w:rPr>
              <w:t>Requirements File</w:t>
            </w:r>
          </w:p>
        </w:tc>
        <w:tc>
          <w:tcPr>
            <w:tcW w:type="dxa" w:w="3456"/>
            <w:vAlign w:val="center"/>
          </w:tcPr>
          <w:p>
            <w:pPr>
              <w:spacing w:after="0"/>
            </w:pPr>
            <w:r/>
            <w:r>
              <w:rPr>
                <w:rFonts w:ascii="Aptos" w:hAnsi="Aptos"/>
                <w:b w:val="0"/>
                <w:color w:val="1F2937"/>
                <w:sz w:val="18"/>
              </w:rPr>
              <w:t>requirements.txt</w:t>
            </w:r>
          </w:p>
        </w:tc>
        <w:tc>
          <w:tcPr>
            <w:tcW w:type="dxa" w:w="4176"/>
            <w:vAlign w:val="center"/>
          </w:tcPr>
          <w:p>
            <w:pPr>
              <w:spacing w:after="0"/>
            </w:pPr>
            <w:r/>
            <w:r>
              <w:rPr>
                <w:rFonts w:ascii="Aptos" w:hAnsi="Aptos"/>
                <w:b w:val="0"/>
                <w:color w:val="1F2937"/>
                <w:sz w:val="18"/>
              </w:rPr>
              <w:t>Pinned Python dependencies</w:t>
            </w:r>
          </w:p>
        </w:tc>
      </w:tr>
      <w:tr>
        <w:tc>
          <w:tcPr>
            <w:tcW w:type="dxa" w:w="3168"/>
            <w:vAlign w:val="center"/>
          </w:tcPr>
          <w:p>
            <w:pPr>
              <w:spacing w:after="0"/>
            </w:pPr>
            <w:r/>
            <w:r>
              <w:rPr>
                <w:rFonts w:ascii="Aptos" w:hAnsi="Aptos"/>
                <w:b/>
                <w:color w:val="1F2937"/>
                <w:sz w:val="18"/>
              </w:rPr>
              <w:t>Project Report</w:t>
            </w:r>
          </w:p>
        </w:tc>
        <w:tc>
          <w:tcPr>
            <w:tcW w:type="dxa" w:w="3456"/>
            <w:vAlign w:val="center"/>
          </w:tcPr>
          <w:p>
            <w:pPr>
              <w:spacing w:after="0"/>
            </w:pPr>
            <w:r/>
            <w:r>
              <w:rPr>
                <w:rFonts w:ascii="Aptos" w:hAnsi="Aptos"/>
                <w:b w:val="0"/>
                <w:color w:val="1F2937"/>
                <w:sz w:val="18"/>
              </w:rPr>
              <w:t>Customer_Sales_Churn_Analytics_Project_Report.docx</w:t>
            </w:r>
          </w:p>
        </w:tc>
        <w:tc>
          <w:tcPr>
            <w:tcW w:type="dxa" w:w="4176"/>
            <w:vAlign w:val="center"/>
          </w:tcPr>
          <w:p>
            <w:pPr>
              <w:spacing w:after="0"/>
            </w:pPr>
            <w:r/>
            <w:r>
              <w:rPr>
                <w:rFonts w:ascii="Aptos" w:hAnsi="Aptos"/>
                <w:b w:val="0"/>
                <w:color w:val="1F2937"/>
                <w:sz w:val="18"/>
              </w:rPr>
              <w:t>Project methodology, findings, screenshots, limitations</w:t>
            </w:r>
          </w:p>
        </w:tc>
      </w:tr>
      <w:tr>
        <w:tc>
          <w:tcPr>
            <w:tcW w:type="dxa" w:w="3168"/>
            <w:vAlign w:val="center"/>
          </w:tcPr>
          <w:p>
            <w:pPr>
              <w:spacing w:after="0"/>
            </w:pPr>
            <w:r/>
            <w:r>
              <w:rPr>
                <w:rFonts w:ascii="Aptos" w:hAnsi="Aptos"/>
                <w:b/>
                <w:color w:val="1F2937"/>
                <w:sz w:val="18"/>
              </w:rPr>
              <w:t>README File</w:t>
            </w:r>
          </w:p>
        </w:tc>
        <w:tc>
          <w:tcPr>
            <w:tcW w:type="dxa" w:w="3456"/>
            <w:vAlign w:val="center"/>
          </w:tcPr>
          <w:p>
            <w:pPr>
              <w:spacing w:after="0"/>
            </w:pPr>
            <w:r/>
            <w:r>
              <w:rPr>
                <w:rFonts w:ascii="Aptos" w:hAnsi="Aptos"/>
                <w:b w:val="0"/>
                <w:color w:val="1F2937"/>
                <w:sz w:val="18"/>
              </w:rPr>
              <w:t>README.md</w:t>
            </w:r>
          </w:p>
        </w:tc>
        <w:tc>
          <w:tcPr>
            <w:tcW w:type="dxa" w:w="4176"/>
            <w:vAlign w:val="center"/>
          </w:tcPr>
          <w:p>
            <w:pPr>
              <w:spacing w:after="0"/>
            </w:pPr>
            <w:r/>
            <w:r>
              <w:rPr>
                <w:rFonts w:ascii="Aptos" w:hAnsi="Aptos"/>
                <w:b w:val="0"/>
                <w:color w:val="1F2937"/>
                <w:sz w:val="18"/>
              </w:rPr>
              <w:t>Overview, setup, run instructions, limitations</w:t>
            </w:r>
          </w:p>
        </w:tc>
      </w:tr>
      <w:tr>
        <w:tc>
          <w:tcPr>
            <w:tcW w:type="dxa" w:w="3168"/>
            <w:vAlign w:val="center"/>
          </w:tcPr>
          <w:p>
            <w:pPr>
              <w:spacing w:after="0"/>
            </w:pPr>
            <w:r/>
            <w:r>
              <w:rPr>
                <w:rFonts w:ascii="Aptos" w:hAnsi="Aptos"/>
                <w:b/>
                <w:color w:val="1F2937"/>
                <w:sz w:val="18"/>
              </w:rPr>
              <w:t>GitHub Repository</w:t>
            </w:r>
          </w:p>
        </w:tc>
        <w:tc>
          <w:tcPr>
            <w:tcW w:type="dxa" w:w="3456"/>
            <w:vAlign w:val="center"/>
          </w:tcPr>
          <w:p>
            <w:pPr>
              <w:spacing w:after="0"/>
            </w:pPr>
            <w:r/>
            <w:r>
              <w:rPr>
                <w:rFonts w:ascii="Aptos" w:hAnsi="Aptos"/>
                <w:b w:val="0"/>
                <w:color w:val="1F2937"/>
                <w:sz w:val="18"/>
              </w:rPr>
              <w:t>Public repository URL</w:t>
            </w:r>
          </w:p>
        </w:tc>
        <w:tc>
          <w:tcPr>
            <w:tcW w:type="dxa" w:w="4176"/>
            <w:vAlign w:val="center"/>
          </w:tcPr>
          <w:p>
            <w:pPr>
              <w:spacing w:after="0"/>
            </w:pPr>
            <w:r/>
            <w:r>
              <w:rPr>
                <w:rFonts w:ascii="Aptos" w:hAnsi="Aptos"/>
                <w:b w:val="0"/>
                <w:color w:val="1F2937"/>
                <w:sz w:val="18"/>
              </w:rPr>
              <w:t>Source-code and documentation repository</w:t>
            </w:r>
          </w:p>
        </w:tc>
      </w:tr>
    </w:tbl>
    <w:p>
      <w:pPr>
        <w:pStyle w:val="Heading1"/>
      </w:pPr>
      <w:r>
        <w:t>10. Final Pre-Submission Checklist</w:t>
      </w:r>
    </w:p>
    <w:p>
      <w:pPr>
        <w:pStyle w:val="ListBullet"/>
        <w:spacing w:after="40"/>
      </w:pPr>
      <w:r>
        <w:t>Confirm `Customer_Sales_Churn_Analytics_Submission.ipynb` opens without corruption.</w:t>
      </w:r>
    </w:p>
    <w:p>
      <w:pPr>
        <w:pStyle w:val="ListBullet"/>
        <w:spacing w:after="40"/>
      </w:pPr>
      <w:r>
        <w:t>Confirm `requirements.txt` matches the documented final environment.</w:t>
      </w:r>
    </w:p>
    <w:p>
      <w:pPr>
        <w:pStyle w:val="ListBullet"/>
        <w:spacing w:after="40"/>
      </w:pPr>
      <w:r>
        <w:t>Confirm `README.md` is the final version and contains the correct project structure and run command.</w:t>
      </w:r>
    </w:p>
    <w:p>
      <w:pPr>
        <w:pStyle w:val="ListBullet"/>
        <w:spacing w:after="40"/>
      </w:pPr>
      <w:r>
        <w:t>Confirm `ProjectReport.docx` is the final report and opens correctly.</w:t>
      </w:r>
    </w:p>
    <w:p>
      <w:pPr>
        <w:pStyle w:val="ListBullet"/>
        <w:spacing w:after="40"/>
      </w:pPr>
      <w:r>
        <w:t>Exclude local virtual-environment folders such as `.venv`, `.venv_final`, `.ml_env`, and `.dashboard_env` from the GitHub repository.</w:t>
      </w:r>
    </w:p>
    <w:p>
      <w:pPr>
        <w:pStyle w:val="ListBullet"/>
        <w:spacing w:after="40"/>
      </w:pPr>
      <w:r>
        <w:t>Run the Streamlit application once from the final project folder and verify the dashboard loads.</w:t>
      </w:r>
    </w:p>
    <w:p>
      <w:pPr>
        <w:pStyle w:val="ListBullet"/>
        <w:spacing w:after="40"/>
      </w:pPr>
      <w:r>
        <w:t>Push the final code and documentation to GitHub and paste the public repository URL into the submission form.</w:t>
      </w:r>
    </w:p>
    <w:p>
      <w:pPr>
        <w:spacing w:before="240"/>
      </w:pPr>
      <w:r>
        <w:rPr>
          <w:b/>
          <w:color w:val="143A52"/>
          <w:sz w:val="26"/>
        </w:rPr>
        <w:t>Conclusion</w:t>
      </w:r>
    </w:p>
    <w:p>
      <w:r>
        <w:t>The project now has a complete analytical workflow, a functioning interactive dashboard, a reproducible modelling module, documented limitations, and a submission-oriented notebook/report structure. The main remaining task is final packaging and submission verification rather than redesigning the project.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Project Report  |  AICTE / IBM SkillsBuild Data Analytics with AI Internship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6"/>
      </w:rPr>
      <w:t>Customer Sales &amp; Churn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A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F9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3A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A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Aptos" w:hAnsi="Aptos"/>
      <w:i/>
      <w:color w:val="5F69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