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3027" w14:textId="77777777" w:rsidR="006B2F3B" w:rsidRDefault="00000000">
      <w:pPr>
        <w:spacing w:after="60"/>
        <w:jc w:val="center"/>
      </w:pPr>
      <w:r>
        <w:t>TCS Options Pricing &amp; Volatility Analysis</w:t>
      </w:r>
    </w:p>
    <w:p w14:paraId="781819B0" w14:textId="77777777" w:rsidR="006B2F3B" w:rsidRDefault="00000000">
      <w:pPr>
        <w:spacing w:after="40"/>
        <w:jc w:val="center"/>
      </w:pPr>
      <w:r>
        <w:t>Binomial (CRR) and Black-Scholes Models — Historical Volatility, Implied Volatility &amp; the Volatility Skew</w:t>
      </w:r>
    </w:p>
    <w:p w14:paraId="4F9E66C1" w14:textId="7C970CE3" w:rsidR="006B2F3B" w:rsidRDefault="00000000">
      <w:pPr>
        <w:spacing w:after="20"/>
        <w:jc w:val="center"/>
      </w:pPr>
      <w:r>
        <w:t>Underlying: Tata Consultancy Services (TCS.NS)  |  Data date: 4 Sep 2026|  Expiry: 29 Sep 2026</w:t>
      </w:r>
    </w:p>
    <w:p w14:paraId="0AD8D0A9" w14:textId="77777777" w:rsidR="006B2F3B" w:rsidRDefault="00000000">
      <w:pPr>
        <w:spacing w:after="300"/>
        <w:jc w:val="center"/>
      </w:pPr>
      <w:r>
        <w:t>Updated Analysis Report</w:t>
      </w:r>
    </w:p>
    <w:p w14:paraId="3AC98F01" w14:textId="77777777" w:rsidR="006B2F3B" w:rsidRDefault="00000000">
      <w:pPr>
        <w:pStyle w:val="Heading2"/>
        <w:spacing w:before="240" w:after="100"/>
      </w:pPr>
      <w:r>
        <w:t>Executive Summary</w:t>
      </w:r>
    </w:p>
    <w:p w14:paraId="617FE843" w14:textId="1488ACD7" w:rsidR="006B2F3B" w:rsidRDefault="00000000">
      <w:pPr>
        <w:spacing w:after="160" w:line="276" w:lineRule="auto"/>
        <w:jc w:val="both"/>
      </w:pPr>
      <w:r>
        <w:t>This report implements and cross-validates the Cox-Ross-Rubinstein (CRR) Binomial and Black-Scholes option pricing models on a TCS at-the-money (ATM) European option using one year of historical price data and an NSE options-chain snapshot. The models are evaluated using one-year historical volatility (28.07%), NSE-published ATM implied volatility (23.51%), and implied volatility solved from the observed market call price (24.60%). The observed ATM call premium is ₹66.70.</w:t>
      </w:r>
    </w:p>
    <w:p w14:paraId="02FE3673" w14:textId="759CA244" w:rsidR="006B2F3B" w:rsidRDefault="00000000">
      <w:pPr>
        <w:spacing w:after="160" w:line="276" w:lineRule="auto"/>
        <w:jc w:val="both"/>
      </w:pPr>
      <w:r>
        <w:t>Historical volatility produces a call value of ₹74.85, while NSE-published IV produces ₹64.03; the observed market premium is ₹66.70. Solving for volatility from the market premium gives 24.60%, which reproduces the market price under Black-Scholes. The results illustrate the difference between backward-looking realised volatility, published option IV, and a model-implied volatility calibrated directly to the observed premium.</w:t>
      </w:r>
    </w:p>
    <w:p w14:paraId="6D7B80AA" w14:textId="77777777" w:rsidR="006B2F3B" w:rsidRDefault="00000000">
      <w:r/>
    </w:p>
    <w:p w14:paraId="3603DE04" w14:textId="77777777" w:rsidR="006B2F3B" w:rsidRDefault="00000000">
      <w:pPr>
        <w:pStyle w:val="Heading1"/>
        <w:pBdr>
          <w:bottom w:val="single" w:sz="6" w:space="4" w:color="2E74B5"/>
        </w:pBdr>
        <w:spacing w:before="360" w:after="160"/>
      </w:pPr>
      <w:r>
        <w:t>1. Objective</w:t>
      </w:r>
    </w:p>
    <w:p w14:paraId="4D690B35" w14:textId="77777777" w:rsidR="006B2F3B" w:rsidRDefault="00000000">
      <w:pPr>
        <w:spacing w:after="160" w:line="276" w:lineRule="auto"/>
        <w:jc w:val="both"/>
      </w:pPr>
      <w:r>
        <w:t>The objective of this project is to implement and analyse the CRR Binomial and Black-Scholes models for a European ATM option on TCS using real market data. The project prices calls and puts under historical and option-implied volatility inputs, validates put-call parity, studies binomial convergence, solves implied volatility from the market premium, and examines the volatility skew across strikes.</w:t>
      </w:r>
    </w:p>
    <w:p w14:paraId="51DFBC3B" w14:textId="77777777" w:rsidR="006B2F3B" w:rsidRDefault="00000000">
      <w:pPr>
        <w:pStyle w:val="ListParagraph"/>
        <w:numPr>
          <w:ilvl w:val="0"/>
          <w:numId w:val="2"/>
        </w:numPr>
        <w:spacing w:after="70"/>
      </w:pPr>
      <w:r>
        <w:t>Prices call and put options under historical volatility and under NSE-published implied volatility</w:t>
      </w:r>
    </w:p>
    <w:p w14:paraId="0F450452" w14:textId="77777777" w:rsidR="006B2F3B" w:rsidRDefault="00000000">
      <w:pPr>
        <w:pStyle w:val="ListParagraph"/>
        <w:numPr>
          <w:ilvl w:val="0"/>
          <w:numId w:val="2"/>
        </w:numPr>
        <w:spacing w:after="70"/>
      </w:pPr>
      <w:r>
        <w:t>Validates internal no-arbitrage consistency using put-call parity</w:t>
      </w:r>
    </w:p>
    <w:p w14:paraId="65C36BF1" w14:textId="77777777" w:rsidR="006B2F3B" w:rsidRDefault="00000000">
      <w:pPr>
        <w:pStyle w:val="ListParagraph"/>
        <w:numPr>
          <w:ilvl w:val="0"/>
          <w:numId w:val="2"/>
        </w:numPr>
        <w:spacing w:after="70"/>
      </w:pPr>
      <w:r>
        <w:t>Studies convergence of the discrete-time binomial framework to the Black-Scholes limit as the number of steps increases</w:t>
      </w:r>
    </w:p>
    <w:p w14:paraId="1510F88F" w14:textId="77777777" w:rsidR="006B2F3B" w:rsidRDefault="00000000">
      <w:pPr>
        <w:pStyle w:val="ListParagraph"/>
        <w:numPr>
          <w:ilvl w:val="0"/>
          <w:numId w:val="2"/>
        </w:numPr>
        <w:spacing w:after="70"/>
      </w:pPr>
      <w:r>
        <w:t>Compares model prices against the observed market premium to assess pricing accuracy</w:t>
      </w:r>
    </w:p>
    <w:p w14:paraId="471C5107" w14:textId="77777777" w:rsidR="006B2F3B" w:rsidRDefault="00000000">
      <w:pPr>
        <w:pStyle w:val="ListParagraph"/>
        <w:numPr>
          <w:ilvl w:val="0"/>
          <w:numId w:val="2"/>
        </w:numPr>
        <w:spacing w:after="70"/>
      </w:pPr>
      <w:r>
        <w:t>Examines the shape of the implied volatility curve (the "volatility smile/skew") across strikes, and what it reveals about the limits of constant-volatility models</w:t>
      </w:r>
    </w:p>
    <w:p w14:paraId="245D5389" w14:textId="77777777" w:rsidR="006B2F3B" w:rsidRDefault="00000000">
      <w:pPr>
        <w:pStyle w:val="Heading1"/>
        <w:pBdr>
          <w:bottom w:val="single" w:sz="6" w:space="4" w:color="2E74B5"/>
        </w:pBdr>
        <w:spacing w:before="360" w:after="160"/>
      </w:pPr>
      <w:r>
        <w:t>2. Theoretical Framework</w:t>
      </w:r>
    </w:p>
    <w:p w14:paraId="2B5A6804" w14:textId="77777777" w:rsidR="006B2F3B" w:rsidRDefault="00000000">
      <w:pPr>
        <w:pStyle w:val="Heading2"/>
        <w:spacing w:before="240" w:after="100"/>
      </w:pPr>
      <w:r>
        <w:t>2.1  Binomial (CRR) Model</w:t>
      </w:r>
    </w:p>
    <w:p w14:paraId="4655329A" w14:textId="77777777" w:rsidR="006B2F3B" w:rsidRDefault="00000000">
      <w:pPr>
        <w:spacing w:after="160" w:line="276" w:lineRule="auto"/>
        <w:jc w:val="both"/>
      </w:pPr>
      <w:r>
        <w:t>The CRR Binomial Model is a discrete-time option pricing framework in which the stock price evolves over a finite number of time steps. At each step, the stock price moves upward by a factor u or downward by a factor d, generating a recombining binomial tree of possible future prices:</w:t>
      </w:r>
    </w:p>
    <w:p w14:paraId="4D830CEB" w14:textId="77777777" w:rsidR="006B2F3B" w:rsidRDefault="00000000">
      <w:pPr>
        <w:spacing w:before="120" w:after="160"/>
        <w:jc w:val="center"/>
      </w:pPr>
      <w:r>
        <w:t>u = exp(σ · sqrt(Δt))          d = exp(−σ · sqrt(Δt)) = 1 / u</w:t>
      </w:r>
    </w:p>
    <w:p w14:paraId="37937E72" w14:textId="77777777" w:rsidR="006B2F3B" w:rsidRDefault="00000000">
      <w:pPr>
        <w:spacing w:after="160" w:line="276" w:lineRule="auto"/>
        <w:jc w:val="both"/>
      </w:pPr>
      <w:r>
        <w:t>The model uses risk-neutral valuation: the expected return of the stock is assumed to equal the risk-free rate under a transformed (risk-neutral) probability measure p, so that discounted expected payoffs — not real-world expected payoffs — give the fair price:</w:t>
      </w:r>
    </w:p>
    <w:p w14:paraId="3066A48C" w14:textId="77777777" w:rsidR="006B2F3B" w:rsidRDefault="00000000">
      <w:pPr>
        <w:spacing w:before="120" w:after="160"/>
        <w:jc w:val="center"/>
      </w:pPr>
      <w:r>
        <w:t>p = (exp(r · Δt) − d) / (u − d)</w:t>
      </w:r>
    </w:p>
    <w:p w14:paraId="6CC34D1F" w14:textId="77777777" w:rsidR="006B2F3B" w:rsidRDefault="00000000">
      <w:pPr>
        <w:spacing w:after="160" w:line="276" w:lineRule="auto"/>
        <w:jc w:val="both"/>
      </w:pPr>
      <w:r>
        <w:t>This relies on the replication principle — a portfolio of the underlying stock and a risk-free bond can replicate the option's payoff, and under no-arbitrage, the value of this portfolio must equal the option price. Valuation proceeds by backward induction: computing payoffs at maturity, then recursively discounting expected future values back to the present node.</w:t>
      </w:r>
    </w:p>
    <w:p w14:paraId="1B729C4B" w14:textId="77777777" w:rsidR="006B2F3B" w:rsidRDefault="00000000">
      <w:pPr>
        <w:pStyle w:val="Heading2"/>
        <w:spacing w:before="240" w:after="100"/>
      </w:pPr>
      <w:r>
        <w:t>2.2  Black-Scholes Model</w:t>
      </w:r>
    </w:p>
    <w:p w14:paraId="16E2B0A8" w14:textId="77777777" w:rsidR="006B2F3B" w:rsidRDefault="00000000">
      <w:pPr>
        <w:spacing w:after="160" w:line="276" w:lineRule="auto"/>
        <w:jc w:val="both"/>
      </w:pPr>
      <w:r>
        <w:t>Black-Scholes is the continuous-time limit of the binomial model, giving European option prices in closed form:</w:t>
      </w:r>
    </w:p>
    <w:p w14:paraId="119FD47B" w14:textId="77777777" w:rsidR="006B2F3B" w:rsidRDefault="00000000">
      <w:pPr>
        <w:spacing w:before="120" w:after="160"/>
        <w:jc w:val="center"/>
      </w:pPr>
      <w:r>
        <w:t>C = S · exp(−qT) · N(d1) − K · exp(−rT) · N(d2)          P = K · exp(−rT) · N(−d2) − S · exp(−qT) · N(−d1)</w:t>
      </w:r>
    </w:p>
    <w:p w14:paraId="3BA7360B" w14:textId="77777777" w:rsidR="006B2F3B" w:rsidRDefault="00000000">
      <w:pPr>
        <w:spacing w:before="120" w:after="160"/>
        <w:jc w:val="center"/>
      </w:pPr>
      <w:r>
        <w:t>d1 = [ln(S/K) + (r − q + σ²/2)·T] / (σ · sqrt(T))  (q = 0 unless --dividend-yield is passed)          d2 = d1 − σ · sqrt(T)</w:t>
      </w:r>
    </w:p>
    <w:p w14:paraId="18D12927" w14:textId="77777777" w:rsidR="006B2F3B" w:rsidRDefault="00000000">
      <w:pPr>
        <w:spacing w:after="160" w:line="276" w:lineRule="auto"/>
        <w:jc w:val="both"/>
      </w:pPr>
      <w:r>
        <w:t>N(d2) is the risk-neutral probability the option expires in the money, and N(d1) is the option's delta — the number of shares held in the replicating portfolio. As the number of binomial steps n → ∞, the discrete random walk converges to Geometric Brownian Motion via the Central Limit Theorem, so the binomial price converges to the Black-Scholes price (Section 6).</w:t>
      </w:r>
    </w:p>
    <w:p w14:paraId="2B2478E3" w14:textId="77777777" w:rsidR="006B2F3B" w:rsidRDefault="00000000">
      <w:pPr>
        <w:pStyle w:val="Heading1"/>
        <w:pBdr>
          <w:bottom w:val="single" w:sz="6" w:space="4" w:color="2E74B5"/>
        </w:pBdr>
        <w:spacing w:before="360" w:after="160"/>
      </w:pPr>
      <w:r>
        <w:t>3. Assumptions</w:t>
      </w:r>
    </w:p>
    <w:p w14:paraId="313E6D63" w14:textId="77777777" w:rsidR="006B2F3B" w:rsidRDefault="00000000">
      <w:pPr>
        <w:pStyle w:val="ListParagraph"/>
        <w:numPr>
          <w:ilvl w:val="0"/>
          <w:numId w:val="2"/>
        </w:numPr>
        <w:spacing w:after="70"/>
      </w:pPr>
      <w:r>
        <w:t>No arbitrage opportunities exist</w:t>
      </w:r>
    </w:p>
    <w:p w14:paraId="42F74F66" w14:textId="77777777" w:rsidR="006B2F3B" w:rsidRDefault="00000000">
      <w:pPr>
        <w:pStyle w:val="ListParagraph"/>
        <w:numPr>
          <w:ilvl w:val="0"/>
          <w:numId w:val="2"/>
        </w:numPr>
        <w:spacing w:after="70"/>
      </w:pPr>
      <w:r>
        <w:t>Constant risk-free rate and volatility over the option's life</w:t>
      </w:r>
    </w:p>
    <w:p w14:paraId="24ADCD21" w14:textId="77777777" w:rsidR="006B2F3B" w:rsidRDefault="00000000">
      <w:pPr>
        <w:pStyle w:val="ListParagraph"/>
        <w:numPr>
          <w:ilvl w:val="0"/>
          <w:numId w:val="2"/>
        </w:numPr>
        <w:spacing w:after="70"/>
      </w:pPr>
      <w:r>
        <w:t>The underlying stock pays no dividends during the option's life</w:t>
      </w:r>
    </w:p>
    <w:p w14:paraId="3AA332FF" w14:textId="77777777" w:rsidR="006B2F3B" w:rsidRDefault="00000000">
      <w:pPr>
        <w:pStyle w:val="ListParagraph"/>
        <w:numPr>
          <w:ilvl w:val="0"/>
          <w:numId w:val="2"/>
        </w:numPr>
        <w:spacing w:after="70"/>
      </w:pPr>
      <w:r>
        <w:t>At each binomial step, the stock price can move only upward or downward</w:t>
      </w:r>
    </w:p>
    <w:p w14:paraId="21E82978" w14:textId="77777777" w:rsidR="006B2F3B" w:rsidRDefault="00000000">
      <w:pPr>
        <w:pStyle w:val="ListParagraph"/>
        <w:numPr>
          <w:ilvl w:val="0"/>
          <w:numId w:val="2"/>
        </w:numPr>
        <w:spacing w:after="70"/>
      </w:pPr>
      <w:r>
        <w:t>No transaction costs or taxes</w:t>
      </w:r>
    </w:p>
    <w:p w14:paraId="628BA959" w14:textId="77777777" w:rsidR="006B2F3B" w:rsidRDefault="00000000">
      <w:pPr>
        <w:pStyle w:val="ListParagraph"/>
        <w:numPr>
          <w:ilvl w:val="0"/>
          <w:numId w:val="2"/>
        </w:numPr>
        <w:spacing w:after="70"/>
      </w:pPr>
      <w:r>
        <w:t>Stock prices follow Geometric Brownian Motion (GBM), implying log-normal price dynamics</w:t>
      </w:r>
    </w:p>
    <w:p w14:paraId="22ECA37C" w14:textId="77777777" w:rsidR="006B2F3B" w:rsidRDefault="00000000">
      <w:pPr>
        <w:pStyle w:val="ListParagraph"/>
        <w:numPr>
          <w:ilvl w:val="0"/>
          <w:numId w:val="2"/>
        </w:numPr>
        <w:spacing w:after="70"/>
      </w:pPr>
      <w:r>
        <w:t>Increasing the number of binomial time steps improves approximation accuracy toward the continuous-time limit</w:t>
      </w:r>
    </w:p>
    <w:p w14:paraId="6B4891F4" w14:textId="77777777" w:rsidR="006B2F3B" w:rsidRDefault="00000000">
      <w:pPr>
        <w:pStyle w:val="Heading1"/>
        <w:pBdr>
          <w:bottom w:val="single" w:sz="6" w:space="4" w:color="2E74B5"/>
        </w:pBdr>
        <w:spacing w:before="360" w:after="160"/>
      </w:pPr>
      <w:r>
        <w:t>4. Data &amp; Model Inputs</w:t>
      </w:r>
    </w:p>
    <w:p w14:paraId="5A142989" w14:textId="23470FF6" w:rsidR="006B2F3B" w:rsidRDefault="00000000">
      <w:pPr>
        <w:spacing w:after="160" w:line="276" w:lineRule="auto"/>
        <w:jc w:val="both"/>
      </w:pPr>
      <w:r>
        <w:t>Historical prices were sourced from one year of NSE end-of-day data for TCS (252, 4 Sep 2025 to 4 Sep 2026); the live options chain was sourced from the NSE options chain snapshot for the 29 Sep 2026.</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gridCol w:w="2600"/>
      </w:tblGrid>
      <w:tr w:rsidR="006B2F3B" w14:paraId="3278B70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r>
              <w:t>Parameter</w:t>
            </w:r>
          </w:p>
        </w:tc>
        <w:tc>
          <w:tcPr>
            <w:tcW w:w="5600" w:type="dxa"/>
            <w:shd w:val="clear" w:color="auto" w:fill="1F3864"/>
            <w:tcMar>
              <w:top w:w="80" w:type="dxa"/>
              <w:left w:w="100" w:type="dxa"/>
              <w:bottom w:w="80" w:type="dxa"/>
              <w:right w:w="100" w:type="dxa"/>
            </w:tcMar>
          </w:tcPr>
          <w:p>
            <w:r>
              <w:t>Description</w:t>
            </w:r>
          </w:p>
        </w:tc>
        <w:tc>
          <w:tcPr>
            <w:tcW w:w="2600" w:type="dxa"/>
            <w:shd w:val="clear" w:color="auto" w:fill="1F3864"/>
            <w:tcMar>
              <w:top w:w="80" w:type="dxa"/>
              <w:left w:w="100" w:type="dxa"/>
              <w:bottom w:w="80" w:type="dxa"/>
              <w:right w:w="100" w:type="dxa"/>
            </w:tcMar>
          </w:tcPr>
          <w:p>
            <w:r>
              <w:t>Value</w:t>
            </w:r>
          </w:p>
        </w:tc>
      </w:tr>
      <w:tr w:rsidR="006B2F3B" w14:paraId="06B4A60F" w14:textId="77777777">
        <w:tblPrEx>
          <w:tblCellMar>
            <w:top w:w="0" w:type="dxa"/>
            <w:bottom w:w="0" w:type="dxa"/>
          </w:tblCellMar>
        </w:tblPrEx>
        <w:tc>
          <w:tcPr>
            <w:tcW w:w="2400" w:type="dxa"/>
            <w:tcMar>
              <w:top w:w="80" w:type="dxa"/>
              <w:left w:w="100" w:type="dxa"/>
              <w:bottom w:w="80" w:type="dxa"/>
              <w:right w:w="100" w:type="dxa"/>
            </w:tcMar>
          </w:tcPr>
          <w:p>
            <w:r>
              <w:t>S</w:t>
            </w:r>
          </w:p>
        </w:tc>
        <w:tc>
          <w:tcPr>
            <w:tcW w:w="5600" w:type="dxa"/>
            <w:tcMar>
              <w:top w:w="80" w:type="dxa"/>
              <w:left w:w="100" w:type="dxa"/>
              <w:bottom w:w="80" w:type="dxa"/>
              <w:right w:w="100" w:type="dxa"/>
            </w:tcMar>
          </w:tcPr>
          <w:p>
            <w:r>
              <w:t>Current stock price (4 Sep 2026 close)</w:t>
            </w:r>
          </w:p>
        </w:tc>
        <w:tc>
          <w:tcPr>
            <w:tcW w:w="2600" w:type="dxa"/>
            <w:tcMar>
              <w:top w:w="80" w:type="dxa"/>
              <w:left w:w="100" w:type="dxa"/>
              <w:bottom w:w="80" w:type="dxa"/>
              <w:right w:w="100" w:type="dxa"/>
            </w:tcMar>
          </w:tcPr>
          <w:p>
            <w:r>
              <w:t>₹2,304.00</w:t>
            </w:r>
          </w:p>
        </w:tc>
      </w:tr>
      <w:tr w:rsidR="006B2F3B" w14:paraId="46065745" w14:textId="77777777">
        <w:tblPrEx>
          <w:tblCellMar>
            <w:top w:w="0" w:type="dxa"/>
            <w:bottom w:w="0" w:type="dxa"/>
          </w:tblCellMar>
        </w:tblPrEx>
        <w:tc>
          <w:tcPr>
            <w:tcW w:w="2400" w:type="dxa"/>
            <w:shd w:val="clear" w:color="auto" w:fill="F2F6FB"/>
            <w:tcMar>
              <w:top w:w="80" w:type="dxa"/>
              <w:left w:w="100" w:type="dxa"/>
              <w:bottom w:w="80" w:type="dxa"/>
              <w:right w:w="100" w:type="dxa"/>
            </w:tcMar>
          </w:tcPr>
          <w:p>
            <w:r>
              <w:t>K</w:t>
            </w:r>
          </w:p>
        </w:tc>
        <w:tc>
          <w:tcPr>
            <w:tcW w:w="5600" w:type="dxa"/>
            <w:shd w:val="clear" w:color="auto" w:fill="F2F6FB"/>
            <w:tcMar>
              <w:top w:w="80" w:type="dxa"/>
              <w:left w:w="100" w:type="dxa"/>
              <w:bottom w:w="80" w:type="dxa"/>
              <w:right w:w="100" w:type="dxa"/>
            </w:tcMar>
          </w:tcPr>
          <w:p>
            <w:r>
              <w:t>Selected ATM strike</w:t>
            </w:r>
          </w:p>
        </w:tc>
        <w:tc>
          <w:tcPr>
            <w:tcW w:w="2600" w:type="dxa"/>
            <w:shd w:val="clear" w:color="auto" w:fill="F2F6FB"/>
            <w:tcMar>
              <w:top w:w="80" w:type="dxa"/>
              <w:left w:w="100" w:type="dxa"/>
              <w:bottom w:w="80" w:type="dxa"/>
              <w:right w:w="100" w:type="dxa"/>
            </w:tcMar>
          </w:tcPr>
          <w:p>
            <w:r>
              <w:t>2300</w:t>
            </w:r>
          </w:p>
        </w:tc>
      </w:tr>
      <w:tr w:rsidR="006B2F3B" w14:paraId="38F63663" w14:textId="77777777">
        <w:tblPrEx>
          <w:tblCellMar>
            <w:top w:w="0" w:type="dxa"/>
            <w:bottom w:w="0" w:type="dxa"/>
          </w:tblCellMar>
        </w:tblPrEx>
        <w:tc>
          <w:tcPr>
            <w:tcW w:w="2400" w:type="dxa"/>
            <w:tcMar>
              <w:top w:w="80" w:type="dxa"/>
              <w:left w:w="100" w:type="dxa"/>
              <w:bottom w:w="80" w:type="dxa"/>
              <w:right w:w="100" w:type="dxa"/>
            </w:tcMar>
          </w:tcPr>
          <w:p>
            <w:r>
              <w:t>r</w:t>
            </w:r>
          </w:p>
        </w:tc>
        <w:tc>
          <w:tcPr>
            <w:tcW w:w="5600" w:type="dxa"/>
            <w:tcMar>
              <w:top w:w="80" w:type="dxa"/>
              <w:left w:w="100" w:type="dxa"/>
              <w:bottom w:w="80" w:type="dxa"/>
              <w:right w:w="100" w:type="dxa"/>
            </w:tcMar>
          </w:tcPr>
          <w:p>
            <w:r>
              <w:t>Risk-free rate (10Y G-sec)</w:t>
            </w:r>
          </w:p>
        </w:tc>
        <w:tc>
          <w:tcPr>
            <w:tcW w:w="2600" w:type="dxa"/>
            <w:tcMar>
              <w:top w:w="80" w:type="dxa"/>
              <w:left w:w="100" w:type="dxa"/>
              <w:bottom w:w="80" w:type="dxa"/>
              <w:right w:w="100" w:type="dxa"/>
            </w:tcMar>
          </w:tcPr>
          <w:p>
            <w:r>
              <w:t>6.92%</w:t>
            </w:r>
          </w:p>
        </w:tc>
      </w:tr>
      <w:tr w:rsidR="006B2F3B" w14:paraId="50C537E7" w14:textId="77777777">
        <w:tblPrEx>
          <w:tblCellMar>
            <w:top w:w="0" w:type="dxa"/>
            <w:bottom w:w="0" w:type="dxa"/>
          </w:tblCellMar>
        </w:tblPrEx>
        <w:tc>
          <w:tcPr>
            <w:tcW w:w="2400" w:type="dxa"/>
            <w:shd w:val="clear" w:color="auto" w:fill="F2F6FB"/>
            <w:tcMar>
              <w:top w:w="80" w:type="dxa"/>
              <w:left w:w="100" w:type="dxa"/>
              <w:bottom w:w="80" w:type="dxa"/>
              <w:right w:w="100" w:type="dxa"/>
            </w:tcMar>
          </w:tcPr>
          <w:p>
            <w:r>
              <w:t>σ</w:t>
            </w:r>
          </w:p>
        </w:tc>
        <w:tc>
          <w:tcPr>
            <w:tcW w:w="5600" w:type="dxa"/>
            <w:shd w:val="clear" w:color="auto" w:fill="F2F6FB"/>
            <w:tcMar>
              <w:top w:w="80" w:type="dxa"/>
              <w:left w:w="100" w:type="dxa"/>
              <w:bottom w:w="80" w:type="dxa"/>
              <w:right w:w="100" w:type="dxa"/>
            </w:tcMar>
          </w:tcPr>
          <w:p>
            <w:r>
              <w:t>Historical annualised volatility (1Y)</w:t>
            </w:r>
          </w:p>
        </w:tc>
        <w:tc>
          <w:tcPr>
            <w:tcW w:w="2600" w:type="dxa"/>
            <w:shd w:val="clear" w:color="auto" w:fill="F2F6FB"/>
            <w:tcMar>
              <w:top w:w="80" w:type="dxa"/>
              <w:left w:w="100" w:type="dxa"/>
              <w:bottom w:w="80" w:type="dxa"/>
              <w:right w:w="100" w:type="dxa"/>
            </w:tcMar>
          </w:tcPr>
          <w:p>
            <w:r>
              <w:t>28.07%</w:t>
            </w:r>
          </w:p>
        </w:tc>
      </w:tr>
      <w:tr w:rsidR="006B2F3B" w14:paraId="3E3C159C" w14:textId="77777777">
        <w:tblPrEx>
          <w:tblCellMar>
            <w:top w:w="0" w:type="dxa"/>
            <w:bottom w:w="0" w:type="dxa"/>
          </w:tblCellMar>
        </w:tblPrEx>
        <w:tc>
          <w:tcPr>
            <w:tcW w:w="2400" w:type="dxa"/>
            <w:tcMar>
              <w:top w:w="80" w:type="dxa"/>
              <w:left w:w="100" w:type="dxa"/>
              <w:bottom w:w="80" w:type="dxa"/>
              <w:right w:w="100" w:type="dxa"/>
            </w:tcMar>
          </w:tcPr>
          <w:p>
            <w:r>
              <w:t>IV (NSE)</w:t>
            </w:r>
          </w:p>
        </w:tc>
        <w:tc>
          <w:tcPr>
            <w:tcW w:w="5600" w:type="dxa"/>
            <w:tcMar>
              <w:top w:w="80" w:type="dxa"/>
              <w:left w:w="100" w:type="dxa"/>
              <w:bottom w:w="80" w:type="dxa"/>
              <w:right w:w="100" w:type="dxa"/>
            </w:tcMar>
          </w:tcPr>
          <w:p>
            <w:r>
              <w:t>NSE-published ATM implied volatility</w:t>
            </w:r>
          </w:p>
        </w:tc>
        <w:tc>
          <w:tcPr>
            <w:tcW w:w="2600" w:type="dxa"/>
            <w:tcMar>
              <w:top w:w="80" w:type="dxa"/>
              <w:left w:w="100" w:type="dxa"/>
              <w:bottom w:w="80" w:type="dxa"/>
              <w:right w:w="100" w:type="dxa"/>
            </w:tcMar>
          </w:tcPr>
          <w:p>
            <w:r>
              <w:t>23.51%</w:t>
            </w:r>
          </w:p>
        </w:tc>
      </w:tr>
      <w:tr w:rsidR="006B2F3B" w14:paraId="1469137C" w14:textId="77777777">
        <w:tblPrEx>
          <w:tblCellMar>
            <w:top w:w="0" w:type="dxa"/>
            <w:bottom w:w="0" w:type="dxa"/>
          </w:tblCellMar>
        </w:tblPrEx>
        <w:tc>
          <w:tcPr>
            <w:tcW w:w="2400" w:type="dxa"/>
            <w:shd w:val="clear" w:color="auto" w:fill="F2F6FB"/>
            <w:tcMar>
              <w:top w:w="80" w:type="dxa"/>
              <w:left w:w="100" w:type="dxa"/>
              <w:bottom w:w="80" w:type="dxa"/>
              <w:right w:w="100" w:type="dxa"/>
            </w:tcMar>
          </w:tcPr>
          <w:p>
            <w:r>
              <w:t>IV (solved)</w:t>
            </w:r>
          </w:p>
        </w:tc>
        <w:tc>
          <w:tcPr>
            <w:tcW w:w="5600" w:type="dxa"/>
            <w:shd w:val="clear" w:color="auto" w:fill="F2F6FB"/>
            <w:tcMar>
              <w:top w:w="80" w:type="dxa"/>
              <w:left w:w="100" w:type="dxa"/>
              <w:bottom w:w="80" w:type="dxa"/>
              <w:right w:w="100" w:type="dxa"/>
            </w:tcMar>
          </w:tcPr>
          <w:p>
            <w:r>
              <w:t>IV solved from market call LTP</w:t>
            </w:r>
          </w:p>
        </w:tc>
        <w:tc>
          <w:tcPr>
            <w:tcW w:w="2600" w:type="dxa"/>
            <w:shd w:val="clear" w:color="auto" w:fill="F2F6FB"/>
            <w:tcMar>
              <w:top w:w="80" w:type="dxa"/>
              <w:left w:w="100" w:type="dxa"/>
              <w:bottom w:w="80" w:type="dxa"/>
              <w:right w:w="100" w:type="dxa"/>
            </w:tcMar>
          </w:tcPr>
          <w:p>
            <w:r>
              <w:t>24.60%</w:t>
            </w:r>
          </w:p>
        </w:tc>
      </w:tr>
      <w:tr w:rsidR="006B2F3B" w14:paraId="0ED796D3" w14:textId="77777777">
        <w:tblPrEx>
          <w:tblCellMar>
            <w:top w:w="0" w:type="dxa"/>
            <w:bottom w:w="0" w:type="dxa"/>
          </w:tblCellMar>
        </w:tblPrEx>
        <w:tc>
          <w:tcPr>
            <w:tcW w:w="2400" w:type="dxa"/>
            <w:tcMar>
              <w:top w:w="80" w:type="dxa"/>
              <w:left w:w="100" w:type="dxa"/>
              <w:bottom w:w="80" w:type="dxa"/>
              <w:right w:w="100" w:type="dxa"/>
            </w:tcMar>
          </w:tcPr>
          <w:p>
            <w:r>
              <w:t>T</w:t>
            </w:r>
          </w:p>
        </w:tc>
        <w:tc>
          <w:tcPr>
            <w:tcW w:w="5600" w:type="dxa"/>
            <w:tcMar>
              <w:top w:w="80" w:type="dxa"/>
              <w:left w:w="100" w:type="dxa"/>
              <w:bottom w:w="80" w:type="dxa"/>
              <w:right w:w="100" w:type="dxa"/>
            </w:tcMar>
          </w:tcPr>
          <w:p>
            <w:r>
              <w:t>Time to expiry (29 Sep 2026 expiry)</w:t>
            </w:r>
          </w:p>
        </w:tc>
        <w:tc>
          <w:tcPr>
            <w:tcW w:w="2600" w:type="dxa"/>
            <w:tcMar>
              <w:top w:w="80" w:type="dxa"/>
              <w:left w:w="100" w:type="dxa"/>
              <w:bottom w:w="80" w:type="dxa"/>
              <w:right w:w="100" w:type="dxa"/>
            </w:tcMar>
          </w:tcPr>
          <w:p>
            <w:r>
              <w:t>25 days</w:t>
            </w:r>
          </w:p>
        </w:tc>
      </w:tr>
      <w:tr>
        <w:tc>
          <w:tcPr>
            <w:tcW w:type="dxa" w:w="2400"/>
            <w:tcMar>
              <w:top w:w="80" w:type="dxa"/>
              <w:left w:w="100" w:type="dxa"/>
              <w:bottom w:w="80" w:type="dxa"/>
              <w:right w:w="100" w:type="dxa"/>
            </w:tcMar>
          </w:tcPr>
          <w:p>
            <w:r>
              <w:t>n</w:t>
            </w:r>
          </w:p>
        </w:tc>
        <w:tc>
          <w:tcPr>
            <w:tcW w:type="dxa" w:w="5600"/>
            <w:tcMar>
              <w:top w:w="80" w:type="dxa"/>
              <w:left w:w="100" w:type="dxa"/>
              <w:bottom w:w="80" w:type="dxa"/>
              <w:right w:w="100" w:type="dxa"/>
            </w:tcMar>
          </w:tcPr>
          <w:p>
            <w:r>
              <w:t>Binomial steps</w:t>
            </w:r>
          </w:p>
        </w:tc>
        <w:tc>
          <w:tcPr>
            <w:tcW w:type="dxa" w:w="2600"/>
            <w:tcMar>
              <w:top w:w="80" w:type="dxa"/>
              <w:left w:w="100" w:type="dxa"/>
              <w:bottom w:w="80" w:type="dxa"/>
              <w:right w:w="100" w:type="dxa"/>
            </w:tcMar>
          </w:tcPr>
          <w:p>
            <w:r>
              <w:t>50</w:t>
            </w:r>
          </w:p>
        </w:tc>
      </w:tr>
    </w:tbl>
    <w:p w14:paraId="7FC1D8F7" w14:textId="77777777" w:rsidR="006B2F3B" w:rsidRDefault="006B2F3B">
      <w:pPr>
        <w:spacing w:before="200"/>
      </w:pPr>
      <w:r/>
    </w:p>
    <w:p w14:paraId="4AAD8466" w14:textId="77777777" w:rsidR="006B2F3B" w:rsidRDefault="00000000">
      <w:pPr>
        <w:spacing w:after="160" w:line="276" w:lineRule="auto"/>
        <w:jc w:val="both"/>
      </w:pPr>
      <w:r>
        <w:t>Daily logarithmic returns and annualised historical volatility were computed as:</w:t>
      </w:r>
    </w:p>
    <w:p w14:paraId="7DBD22E1" w14:textId="77777777" w:rsidR="006B2F3B" w:rsidRDefault="00000000">
      <w:pPr>
        <w:spacing w:before="120" w:after="160"/>
        <w:jc w:val="center"/>
      </w:pPr>
      <w:r>
        <w:t>rt = ln(Pt / Pt−1)          σ = std(rt) · sqrt(252)</w:t>
      </w:r>
    </w:p>
    <w:p w14:paraId="5BF00C2B" w14:textId="33C7EBFC" w:rsidR="006B2F3B" w:rsidRDefault="00000000">
      <w:pPr>
        <w:spacing w:after="160" w:line="276" w:lineRule="auto"/>
        <w:jc w:val="both"/>
      </w:pPr>
      <w:r>
        <w:t>Mean historical return (annualised) = -29.59%. This figure is descriptive only and is not used in pricing — risk-neutral valuation replaces the real-world expected return with the risk-free rate, so the model is indifferent to whether the stock's realised drift was positive or negative.</w:t>
      </w:r>
    </w:p>
    <w:p w14:paraId="230FC62F" w14:textId="77777777" w:rsidR="006B2F3B" w:rsidRDefault="00000000">
      <w:pPr>
        <w:pStyle w:val="Heading1"/>
        <w:pBdr>
          <w:bottom w:val="single" w:sz="6" w:space="4" w:color="2E74B5"/>
        </w:pBdr>
        <w:spacing w:before="360" w:after="160"/>
      </w:pPr>
      <w:r>
        <w:t>5. Historical &amp; Rolling Volatility</w:t>
      </w:r>
    </w:p>
    <w:p w14:paraId="2F32B684" w14:textId="77777777" w:rsidR="006B2F3B" w:rsidRDefault="00000000">
      <w:pPr>
        <w:spacing w:after="160" w:line="276" w:lineRule="auto"/>
        <w:jc w:val="both"/>
      </w:pPr>
      <w:r>
        <w:t>Beyond the single one-year figure, volatility was also measured over shorter rolling windows to check whether recent conditions differ from the full-year average: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4300"/>
      </w:tblGrid>
      <w:tr w:rsidR="006B2F3B" w14:paraId="63D56D52" w14:textId="77777777">
        <w:tblPrEx>
          <w:tblCellMar>
            <w:top w:w="0" w:type="dxa"/>
            <w:bottom w:w="0" w:type="dxa"/>
          </w:tblCellMar>
        </w:tblPrEx>
        <w:trPr>
          <w:tblHeader/>
        </w:trPr>
        <w:tc>
          <w:tcPr>
            <w:tcW w:w="6300" w:type="dxa"/>
            <w:shd w:val="clear" w:color="auto" w:fill="1F3864"/>
            <w:tcMar>
              <w:top w:w="80" w:type="dxa"/>
              <w:left w:w="100" w:type="dxa"/>
              <w:bottom w:w="80" w:type="dxa"/>
              <w:right w:w="100" w:type="dxa"/>
            </w:tcMar>
          </w:tcPr>
          <w:p>
            <w:r>
              <w:t>Measure</w:t>
            </w:r>
          </w:p>
        </w:tc>
        <w:tc>
          <w:tcPr>
            <w:tcW w:w="4300" w:type="dxa"/>
            <w:shd w:val="clear" w:color="auto" w:fill="1F3864"/>
            <w:tcMar>
              <w:top w:w="80" w:type="dxa"/>
              <w:left w:w="100" w:type="dxa"/>
              <w:bottom w:w="80" w:type="dxa"/>
              <w:right w:w="100" w:type="dxa"/>
            </w:tcMar>
          </w:tcPr>
          <w:p>
            <w:r>
              <w:t>Value</w:t>
            </w:r>
          </w:p>
        </w:tc>
      </w:tr>
      <w:tr w:rsidR="006B2F3B" w14:paraId="6701468E" w14:textId="77777777">
        <w:tblPrEx>
          <w:tblCellMar>
            <w:top w:w="0" w:type="dxa"/>
            <w:bottom w:w="0" w:type="dxa"/>
          </w:tblCellMar>
        </w:tblPrEx>
        <w:tc>
          <w:tcPr>
            <w:tcW w:w="6300" w:type="dxa"/>
            <w:tcMar>
              <w:top w:w="80" w:type="dxa"/>
              <w:left w:w="100" w:type="dxa"/>
              <w:bottom w:w="80" w:type="dxa"/>
              <w:right w:w="100" w:type="dxa"/>
            </w:tcMar>
          </w:tcPr>
          <w:p>
            <w:r>
              <w:t>30-day rolling volatility</w:t>
            </w:r>
          </w:p>
        </w:tc>
        <w:tc>
          <w:tcPr>
            <w:tcW w:w="4300" w:type="dxa"/>
            <w:tcMar>
              <w:top w:w="80" w:type="dxa"/>
              <w:left w:w="100" w:type="dxa"/>
              <w:bottom w:w="80" w:type="dxa"/>
              <w:right w:w="100" w:type="dxa"/>
            </w:tcMar>
          </w:tcPr>
          <w:p>
            <w:r>
              <w:t>33.33%</w:t>
            </w:r>
          </w:p>
        </w:tc>
      </w:tr>
      <w:tr w:rsidR="006B2F3B" w14:paraId="2A5088C1" w14:textId="77777777">
        <w:tblPrEx>
          <w:tblCellMar>
            <w:top w:w="0" w:type="dxa"/>
            <w:bottom w:w="0" w:type="dxa"/>
          </w:tblCellMar>
        </w:tblPrEx>
        <w:tc>
          <w:tcPr>
            <w:tcW w:w="6300" w:type="dxa"/>
            <w:shd w:val="clear" w:color="auto" w:fill="F2F6FB"/>
            <w:tcMar>
              <w:top w:w="80" w:type="dxa"/>
              <w:left w:w="100" w:type="dxa"/>
              <w:bottom w:w="80" w:type="dxa"/>
              <w:right w:w="100" w:type="dxa"/>
            </w:tcMar>
          </w:tcPr>
          <w:p>
            <w:r>
              <w:t>90-day rolling volatility</w:t>
            </w:r>
          </w:p>
        </w:tc>
        <w:tc>
          <w:tcPr>
            <w:tcW w:w="4300" w:type="dxa"/>
            <w:shd w:val="clear" w:color="auto" w:fill="F2F6FB"/>
            <w:tcMar>
              <w:top w:w="80" w:type="dxa"/>
              <w:left w:w="100" w:type="dxa"/>
              <w:bottom w:w="80" w:type="dxa"/>
              <w:right w:w="100" w:type="dxa"/>
            </w:tcMar>
          </w:tcPr>
          <w:p>
            <w:r>
              <w:t>34.27%</w:t>
            </w:r>
          </w:p>
        </w:tc>
      </w:tr>
      <w:tr w:rsidR="006B2F3B" w14:paraId="1E9007E2" w14:textId="77777777">
        <w:tblPrEx>
          <w:tblCellMar>
            <w:top w:w="0" w:type="dxa"/>
            <w:bottom w:w="0" w:type="dxa"/>
          </w:tblCellMar>
        </w:tblPrEx>
        <w:tc>
          <w:tcPr>
            <w:tcW w:w="6300" w:type="dxa"/>
            <w:tcMar>
              <w:top w:w="80" w:type="dxa"/>
              <w:left w:w="100" w:type="dxa"/>
              <w:bottom w:w="80" w:type="dxa"/>
              <w:right w:w="100" w:type="dxa"/>
            </w:tcMar>
          </w:tcPr>
          <w:p>
            <w:r>
              <w:t>1-year historical volatility</w:t>
            </w:r>
          </w:p>
        </w:tc>
        <w:tc>
          <w:tcPr>
            <w:tcW w:w="4300" w:type="dxa"/>
            <w:tcMar>
              <w:top w:w="80" w:type="dxa"/>
              <w:left w:w="100" w:type="dxa"/>
              <w:bottom w:w="80" w:type="dxa"/>
              <w:right w:w="100" w:type="dxa"/>
            </w:tcMar>
          </w:tcPr>
          <w:p>
            <w:r>
              <w:t>28.07%</w:t>
            </w:r>
          </w:p>
        </w:tc>
      </w:tr>
      <w:tr w:rsidR="006B2F3B" w14:paraId="76C577AB" w14:textId="77777777">
        <w:tblPrEx>
          <w:tblCellMar>
            <w:top w:w="0" w:type="dxa"/>
            <w:bottom w:w="0" w:type="dxa"/>
          </w:tblCellMar>
        </w:tblPrEx>
        <w:tc>
          <w:tcPr>
            <w:tcW w:w="6300" w:type="dxa"/>
            <w:shd w:val="clear" w:color="auto" w:fill="F2F6FB"/>
            <w:tcMar>
              <w:top w:w="80" w:type="dxa"/>
              <w:left w:w="100" w:type="dxa"/>
              <w:bottom w:w="80" w:type="dxa"/>
              <w:right w:w="100" w:type="dxa"/>
            </w:tcMar>
          </w:tcPr>
          <w:p>
            <w:r>
              <w:t>ATM IV (NSE)</w:t>
            </w:r>
          </w:p>
        </w:tc>
        <w:tc>
          <w:tcPr>
            <w:tcW w:w="4300" w:type="dxa"/>
            <w:shd w:val="clear" w:color="auto" w:fill="F2F6FB"/>
            <w:tcMar>
              <w:top w:w="80" w:type="dxa"/>
              <w:left w:w="100" w:type="dxa"/>
              <w:bottom w:w="80" w:type="dxa"/>
              <w:right w:w="100" w:type="dxa"/>
            </w:tcMar>
          </w:tcPr>
          <w:p>
            <w:r>
              <w:t>23.51%</w:t>
            </w:r>
          </w:p>
        </w:tc>
      </w:tr>
      <w:tr>
        <w:tc>
          <w:tcPr>
            <w:tcW w:type="dxa" w:w="6300"/>
            <w:tcMar>
              <w:top w:w="80" w:type="dxa"/>
              <w:left w:w="100" w:type="dxa"/>
              <w:bottom w:w="80" w:type="dxa"/>
              <w:right w:w="100" w:type="dxa"/>
            </w:tcMar>
          </w:tcPr>
          <w:p>
            <w:r>
              <w:t>Solved IV from market LTP</w:t>
            </w:r>
          </w:p>
        </w:tc>
        <w:tc>
          <w:tcPr>
            <w:tcW w:type="dxa" w:w="4300"/>
            <w:tcMar>
              <w:top w:w="80" w:type="dxa"/>
              <w:left w:w="100" w:type="dxa"/>
              <w:bottom w:w="80" w:type="dxa"/>
              <w:right w:w="100" w:type="dxa"/>
            </w:tcMar>
          </w:tcPr>
          <w:p>
            <w:r>
              <w:t>24.60%</w:t>
            </w:r>
          </w:p>
        </w:tc>
      </w:tr>
    </w:tbl>
    <w:p w14:paraId="108CCAFE" w14:textId="77777777" w:rsidR="006B2F3B" w:rsidRDefault="006B2F3B">
      <w:pPr>
        <w:spacing w:before="200"/>
      </w:pPr>
      <w:r/>
    </w:p>
    <w:p w14:paraId="04542D19" w14:textId="52E7FFFA" w:rsidR="006B2F3B" w:rsidRDefault="00000000">
      <w:pPr>
        <w:spacing w:after="160" w:line="276" w:lineRule="auto"/>
        <w:jc w:val="both"/>
      </w:pPr>
      <w:r>
        <w:t>The 30-day and 90-day rolling volatilities (33.33% and 34.27%) are above the one-year historical volatility (28.07%), while the NSE-published ATM IV is 23.51% and the market-price-implied volatility solved by the model is 24.60%. Historical volatility is backward-looking, whereas implied volatility is forward-looking and specific to the option's remaining life.</w:t>
      </w:r>
    </w:p>
    <w:p w14:paraId="2C52BBC0" w14:textId="77777777" w:rsidR="006B2F3B" w:rsidRDefault="00000000">
      <w:pPr>
        <w:pStyle w:val="Heading1"/>
        <w:pBdr>
          <w:bottom w:val="single" w:sz="6" w:space="4" w:color="2E74B5"/>
        </w:pBdr>
        <w:spacing w:before="360" w:after="160"/>
      </w:pPr>
      <w:r>
        <w:t>6. Model Pricing Results</w:t>
      </w:r>
    </w:p>
    <w:p w14:paraId="7CF979E8" w14:textId="77777777" w:rsidR="006B2F3B" w:rsidRDefault="00000000">
      <w:pPr>
        <w:spacing w:after="160" w:line="276" w:lineRule="auto"/>
        <w:jc w:val="both"/>
      </w:pPr>
      <w:r>
        <w:t>The binomial and Black-Scholes models were evaluated under three volatility inputs: one-year historical volatility, NSE-published ATM IV, and IV solved from the observed market premium.</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900"/>
        <w:gridCol w:w="2900"/>
      </w:tblGrid>
      <w:tr w:rsidR="006B2F3B" w14:paraId="31684722"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tcPr>
          <w:p>
            <w:r>
              <w:t>Model</w:t>
            </w:r>
          </w:p>
        </w:tc>
        <w:tc>
          <w:tcPr>
            <w:tcW w:w="2900" w:type="dxa"/>
            <w:shd w:val="clear" w:color="auto" w:fill="1F3864"/>
            <w:tcMar>
              <w:top w:w="80" w:type="dxa"/>
              <w:left w:w="100" w:type="dxa"/>
              <w:bottom w:w="80" w:type="dxa"/>
              <w:right w:w="100" w:type="dxa"/>
            </w:tcMar>
          </w:tcPr>
          <w:p>
            <w:r>
              <w:t>Call Price (₹)</w:t>
            </w:r>
          </w:p>
        </w:tc>
        <w:tc>
          <w:tcPr>
            <w:tcW w:w="2900" w:type="dxa"/>
            <w:shd w:val="clear" w:color="auto" w:fill="1F3864"/>
            <w:tcMar>
              <w:top w:w="80" w:type="dxa"/>
              <w:left w:w="100" w:type="dxa"/>
              <w:bottom w:w="80" w:type="dxa"/>
              <w:right w:w="100" w:type="dxa"/>
            </w:tcMar>
          </w:tcPr>
          <w:p>
            <w:r>
              <w:t>Put Price (₹)</w:t>
            </w:r>
          </w:p>
        </w:tc>
      </w:tr>
      <w:tr w:rsidR="006B2F3B" w14:paraId="2EA41931" w14:textId="77777777">
        <w:tblPrEx>
          <w:tblCellMar>
            <w:top w:w="0" w:type="dxa"/>
            <w:bottom w:w="0" w:type="dxa"/>
          </w:tblCellMar>
        </w:tblPrEx>
        <w:tc>
          <w:tcPr>
            <w:tcW w:w="4800" w:type="dxa"/>
            <w:tcMar>
              <w:top w:w="80" w:type="dxa"/>
              <w:left w:w="100" w:type="dxa"/>
              <w:bottom w:w="80" w:type="dxa"/>
              <w:right w:w="100" w:type="dxa"/>
            </w:tcMar>
          </w:tcPr>
          <w:p>
            <w:r>
              <w:t>Binomial — historical vol (28.07%)</w:t>
            </w:r>
          </w:p>
        </w:tc>
        <w:tc>
          <w:tcPr>
            <w:tcW w:w="2900" w:type="dxa"/>
            <w:tcMar>
              <w:top w:w="80" w:type="dxa"/>
              <w:left w:w="100" w:type="dxa"/>
              <w:bottom w:w="80" w:type="dxa"/>
              <w:right w:w="100" w:type="dxa"/>
            </w:tcMar>
          </w:tcPr>
          <w:p>
            <w:r>
              <w:t>₹74.85</w:t>
            </w:r>
          </w:p>
        </w:tc>
        <w:tc>
          <w:tcPr>
            <w:tcW w:w="2900" w:type="dxa"/>
            <w:tcMar>
              <w:top w:w="80" w:type="dxa"/>
              <w:left w:w="100" w:type="dxa"/>
              <w:bottom w:w="80" w:type="dxa"/>
              <w:right w:w="100" w:type="dxa"/>
            </w:tcMar>
          </w:tcPr>
          <w:p>
            <w:r>
              <w:t>₹59.98</w:t>
            </w:r>
          </w:p>
        </w:tc>
      </w:tr>
      <w:tr w:rsidR="006B2F3B" w14:paraId="68669D1D" w14:textId="77777777">
        <w:tblPrEx>
          <w:tblCellMar>
            <w:top w:w="0" w:type="dxa"/>
            <w:bottom w:w="0" w:type="dxa"/>
          </w:tblCellMar>
        </w:tblPrEx>
        <w:tc>
          <w:tcPr>
            <w:tcW w:w="4800" w:type="dxa"/>
            <w:shd w:val="clear" w:color="auto" w:fill="F2F6FB"/>
            <w:tcMar>
              <w:top w:w="80" w:type="dxa"/>
              <w:left w:w="100" w:type="dxa"/>
              <w:bottom w:w="80" w:type="dxa"/>
              <w:right w:w="100" w:type="dxa"/>
            </w:tcMar>
          </w:tcPr>
          <w:p>
            <w:r>
              <w:t>Binomial — NSE-published IV (23.51%)</w:t>
            </w:r>
          </w:p>
        </w:tc>
        <w:tc>
          <w:tcPr>
            <w:tcW w:w="2900" w:type="dxa"/>
            <w:shd w:val="clear" w:color="auto" w:fill="F2F6FB"/>
            <w:tcMar>
              <w:top w:w="80" w:type="dxa"/>
              <w:left w:w="100" w:type="dxa"/>
              <w:bottom w:w="80" w:type="dxa"/>
              <w:right w:w="100" w:type="dxa"/>
            </w:tcMar>
          </w:tcPr>
          <w:p>
            <w:r>
              <w:t>₹64.03</w:t>
            </w:r>
          </w:p>
        </w:tc>
        <w:tc>
          <w:tcPr>
            <w:tcW w:w="2900" w:type="dxa"/>
            <w:shd w:val="clear" w:color="auto" w:fill="F2F6FB"/>
            <w:tcMar>
              <w:top w:w="80" w:type="dxa"/>
              <w:left w:w="100" w:type="dxa"/>
              <w:bottom w:w="80" w:type="dxa"/>
              <w:right w:w="100" w:type="dxa"/>
            </w:tcMar>
          </w:tcPr>
          <w:p>
            <w:r>
              <w:t>₹49.16</w:t>
            </w:r>
          </w:p>
        </w:tc>
      </w:tr>
      <w:tr w:rsidR="006B2F3B" w14:paraId="24251E15" w14:textId="77777777">
        <w:tblPrEx>
          <w:tblCellMar>
            <w:top w:w="0" w:type="dxa"/>
            <w:bottom w:w="0" w:type="dxa"/>
          </w:tblCellMar>
        </w:tblPrEx>
        <w:tc>
          <w:tcPr>
            <w:tcW w:w="4800" w:type="dxa"/>
            <w:tcMar>
              <w:top w:w="80" w:type="dxa"/>
              <w:left w:w="100" w:type="dxa"/>
              <w:bottom w:w="80" w:type="dxa"/>
              <w:right w:w="100" w:type="dxa"/>
            </w:tcMar>
          </w:tcPr>
          <w:p>
            <w:r>
              <w:t>Binomial — solved IV (24.60%)</w:t>
            </w:r>
          </w:p>
        </w:tc>
        <w:tc>
          <w:tcPr>
            <w:tcW w:w="2900" w:type="dxa"/>
            <w:tcMar>
              <w:top w:w="80" w:type="dxa"/>
              <w:left w:w="100" w:type="dxa"/>
              <w:bottom w:w="80" w:type="dxa"/>
              <w:right w:w="100" w:type="dxa"/>
            </w:tcMar>
          </w:tcPr>
          <w:p>
            <w:r>
              <w:t>₹66.61</w:t>
            </w:r>
          </w:p>
        </w:tc>
        <w:tc>
          <w:tcPr>
            <w:tcW w:w="2900" w:type="dxa"/>
            <w:tcMar>
              <w:top w:w="80" w:type="dxa"/>
              <w:left w:w="100" w:type="dxa"/>
              <w:bottom w:w="80" w:type="dxa"/>
              <w:right w:w="100" w:type="dxa"/>
            </w:tcMar>
          </w:tcPr>
          <w:p>
            <w:r>
              <w:t>₹51.73</w:t>
            </w:r>
          </w:p>
        </w:tc>
      </w:tr>
      <w:tr w:rsidR="006B2F3B" w14:paraId="321FDF5E" w14:textId="77777777">
        <w:tblPrEx>
          <w:tblCellMar>
            <w:top w:w="0" w:type="dxa"/>
            <w:bottom w:w="0" w:type="dxa"/>
          </w:tblCellMar>
        </w:tblPrEx>
        <w:tc>
          <w:tcPr>
            <w:tcW w:w="4800" w:type="dxa"/>
            <w:shd w:val="clear" w:color="auto" w:fill="F2F6FB"/>
            <w:tcMar>
              <w:top w:w="80" w:type="dxa"/>
              <w:left w:w="100" w:type="dxa"/>
              <w:bottom w:w="80" w:type="dxa"/>
              <w:right w:w="100" w:type="dxa"/>
            </w:tcMar>
          </w:tcPr>
          <w:p>
            <w:r>
              <w:t>Black-Scholes — historical vol (28.07%)</w:t>
            </w:r>
          </w:p>
        </w:tc>
        <w:tc>
          <w:tcPr>
            <w:tcW w:w="2900" w:type="dxa"/>
            <w:shd w:val="clear" w:color="auto" w:fill="F2F6FB"/>
            <w:tcMar>
              <w:top w:w="80" w:type="dxa"/>
              <w:left w:w="100" w:type="dxa"/>
              <w:bottom w:w="80" w:type="dxa"/>
              <w:right w:w="100" w:type="dxa"/>
            </w:tcMar>
          </w:tcPr>
          <w:p>
            <w:r>
              <w:t>₹74.98</w:t>
            </w:r>
          </w:p>
        </w:tc>
        <w:tc>
          <w:tcPr>
            <w:tcW w:w="2900" w:type="dxa"/>
            <w:shd w:val="clear" w:color="auto" w:fill="F2F6FB"/>
            <w:tcMar>
              <w:top w:w="80" w:type="dxa"/>
              <w:left w:w="100" w:type="dxa"/>
              <w:bottom w:w="80" w:type="dxa"/>
              <w:right w:w="100" w:type="dxa"/>
            </w:tcMar>
          </w:tcPr>
          <w:p>
            <w:r>
              <w:t>₹60.11</w:t>
            </w:r>
          </w:p>
        </w:tc>
      </w:tr>
      <w:tr w:rsidR="006B2F3B" w14:paraId="70209664" w14:textId="77777777">
        <w:tblPrEx>
          <w:tblCellMar>
            <w:top w:w="0" w:type="dxa"/>
            <w:bottom w:w="0" w:type="dxa"/>
          </w:tblCellMar>
        </w:tblPrEx>
        <w:tc>
          <w:tcPr>
            <w:tcW w:w="4800" w:type="dxa"/>
            <w:tcMar>
              <w:top w:w="80" w:type="dxa"/>
              <w:left w:w="100" w:type="dxa"/>
              <w:bottom w:w="80" w:type="dxa"/>
              <w:right w:w="100" w:type="dxa"/>
            </w:tcMar>
          </w:tcPr>
          <w:p>
            <w:r>
              <w:t>Black-Scholes — NSE-published IV (23.51%)</w:t>
            </w:r>
          </w:p>
        </w:tc>
        <w:tc>
          <w:tcPr>
            <w:tcW w:w="2900" w:type="dxa"/>
            <w:tcMar>
              <w:top w:w="80" w:type="dxa"/>
              <w:left w:w="100" w:type="dxa"/>
              <w:bottom w:w="80" w:type="dxa"/>
              <w:right w:w="100" w:type="dxa"/>
            </w:tcMar>
          </w:tcPr>
          <w:p>
            <w:r>
              <w:t>₹64.11</w:t>
            </w:r>
          </w:p>
        </w:tc>
        <w:tc>
          <w:tcPr>
            <w:tcW w:w="2900" w:type="dxa"/>
            <w:tcMar>
              <w:top w:w="80" w:type="dxa"/>
              <w:left w:w="100" w:type="dxa"/>
              <w:bottom w:w="80" w:type="dxa"/>
              <w:right w:w="100" w:type="dxa"/>
            </w:tcMar>
          </w:tcPr>
          <w:p>
            <w:r>
              <w:t>₹49.24</w:t>
            </w:r>
          </w:p>
        </w:tc>
      </w:tr>
      <w:tr>
        <w:tc>
          <w:tcPr>
            <w:tcW w:type="dxa" w:w="4800"/>
            <w:tcMar>
              <w:top w:w="80" w:type="dxa"/>
              <w:left w:w="100" w:type="dxa"/>
              <w:bottom w:w="80" w:type="dxa"/>
              <w:right w:w="100" w:type="dxa"/>
            </w:tcMar>
          </w:tcPr>
          <w:p>
            <w:r>
              <w:t>Black-Scholes — solved IV (24.60%)</w:t>
            </w:r>
          </w:p>
        </w:tc>
        <w:tc>
          <w:tcPr>
            <w:tcW w:type="dxa" w:w="2900"/>
            <w:tcMar>
              <w:top w:w="80" w:type="dxa"/>
              <w:left w:w="100" w:type="dxa"/>
              <w:bottom w:w="80" w:type="dxa"/>
              <w:right w:w="100" w:type="dxa"/>
            </w:tcMar>
          </w:tcPr>
          <w:p>
            <w:r>
              <w:t>₹66.70</w:t>
            </w:r>
          </w:p>
        </w:tc>
        <w:tc>
          <w:tcPr>
            <w:tcW w:type="dxa" w:w="2900"/>
            <w:tcMar>
              <w:top w:w="80" w:type="dxa"/>
              <w:left w:w="100" w:type="dxa"/>
              <w:bottom w:w="80" w:type="dxa"/>
              <w:right w:w="100" w:type="dxa"/>
            </w:tcMar>
          </w:tcPr>
          <w:p>
            <w:r>
              <w:t>₹51.82</w:t>
            </w:r>
          </w:p>
        </w:tc>
      </w:tr>
      <w:tr>
        <w:tc>
          <w:tcPr>
            <w:tcW w:type="dxa" w:w="4800"/>
            <w:tcMar>
              <w:top w:w="80" w:type="dxa"/>
              <w:left w:w="100" w:type="dxa"/>
              <w:bottom w:w="80" w:type="dxa"/>
              <w:right w:w="100" w:type="dxa"/>
            </w:tcMar>
          </w:tcPr>
          <w:p>
            <w:r>
              <w:t>Market LTP — ATM strike 2300 (call)</w:t>
            </w:r>
          </w:p>
        </w:tc>
        <w:tc>
          <w:tcPr>
            <w:tcW w:type="dxa" w:w="2900"/>
            <w:tcMar>
              <w:top w:w="80" w:type="dxa"/>
              <w:left w:w="100" w:type="dxa"/>
              <w:bottom w:w="80" w:type="dxa"/>
              <w:right w:w="100" w:type="dxa"/>
            </w:tcMar>
          </w:tcPr>
          <w:p>
            <w:r>
              <w:t>₹66.70</w:t>
            </w:r>
          </w:p>
        </w:tc>
        <w:tc>
          <w:tcPr>
            <w:tcW w:type="dxa" w:w="2900"/>
            <w:tcMar>
              <w:top w:w="80" w:type="dxa"/>
              <w:left w:w="100" w:type="dxa"/>
              <w:bottom w:w="80" w:type="dxa"/>
              <w:right w:w="100" w:type="dxa"/>
            </w:tcMar>
          </w:tcPr>
          <w:p>
            <w:r>
              <w:t>—</w:t>
            </w:r>
          </w:p>
        </w:tc>
      </w:tr>
    </w:tbl>
    <w:p w14:paraId="2D367643" w14:textId="77777777" w:rsidR="006B2F3B" w:rsidRDefault="006B2F3B">
      <w:pPr>
        <w:spacing w:before="200"/>
      </w:pPr>
      <w:r/>
    </w:p>
    <w:p w14:paraId="1D63AC74" w14:textId="00871009" w:rsidR="006B2F3B" w:rsidRDefault="00000000">
      <w:pPr>
        <w:spacing w:after="160" w:line="276" w:lineRule="auto"/>
        <w:jc w:val="both"/>
      </w:pPr>
      <w:r>
        <w:t>The market call premium of ₹66.70 lies between the historical-volatility model price and the NSE-published-IV model price. The historical-volatility binomial price is ₹74.85, while the published-IV binomial price is ₹64.03. Solving for IV from the market premium gives 24.60%; the Black-Scholes price at this solved IV is ₹66.70, matching the market premium by construction.</w:t>
      </w:r>
    </w:p>
    <w:p w14:paraId="13DB95E4" w14:textId="77777777" w:rsidR="006B2F3B" w:rsidRDefault="00000000">
      <w:pPr>
        <w:pStyle w:val="Heading1"/>
        <w:pBdr>
          <w:bottom w:val="single" w:sz="6" w:space="4" w:color="2E74B5"/>
        </w:pBdr>
        <w:spacing w:before="360" w:after="160"/>
      </w:pPr>
      <w:r>
        <w:t>7. Convergence Analysis</w:t>
      </w:r>
    </w:p>
    <w:p w14:paraId="6A1204B2" w14:textId="77777777" w:rsidR="006B2F3B" w:rsidRDefault="00000000">
      <w:pPr>
        <w:spacing w:after="160" w:line="276" w:lineRule="auto"/>
        <w:jc w:val="both"/>
      </w:pPr>
      <w:r>
        <w:t>As the number of binomial time steps n increases, the CRR lattice converges toward the continuous-time Black-Scholes limit. The convergence is assessed using the historical volatility input and the selected ATM strike of 2300.</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6B2F3B" w14:paraId="7ABCB6B8" w14:textId="77777777">
        <w:tblPrEx>
          <w:tblCellMar>
            <w:top w:w="0" w:type="dxa"/>
            <w:bottom w:w="0" w:type="dxa"/>
          </w:tblCellMar>
        </w:tblPrEx>
        <w:trPr>
          <w:tblHeader/>
        </w:trPr>
        <w:tc>
          <w:tcPr>
            <w:tcW w:w="5400" w:type="dxa"/>
            <w:shd w:val="clear" w:color="auto" w:fill="1F3864"/>
            <w:tcMar>
              <w:top w:w="80" w:type="dxa"/>
              <w:left w:w="100" w:type="dxa"/>
              <w:bottom w:w="80" w:type="dxa"/>
              <w:right w:w="100" w:type="dxa"/>
            </w:tcMar>
          </w:tcPr>
          <w:p>
            <w:r>
              <w:t>n</w:t>
            </w:r>
          </w:p>
        </w:tc>
        <w:tc>
          <w:tcPr>
            <w:tcW w:w="5400" w:type="dxa"/>
            <w:shd w:val="clear" w:color="auto" w:fill="1F3864"/>
            <w:tcMar>
              <w:top w:w="80" w:type="dxa"/>
              <w:left w:w="100" w:type="dxa"/>
              <w:bottom w:w="80" w:type="dxa"/>
              <w:right w:w="100" w:type="dxa"/>
            </w:tcMar>
          </w:tcPr>
          <w:p>
            <w:r>
              <w:t>Call Price (₹)</w:t>
            </w:r>
          </w:p>
        </w:tc>
      </w:tr>
      <w:tr w:rsidR="006B2F3B" w14:paraId="106341DC" w14:textId="77777777">
        <w:tblPrEx>
          <w:tblCellMar>
            <w:top w:w="0" w:type="dxa"/>
            <w:bottom w:w="0" w:type="dxa"/>
          </w:tblCellMar>
        </w:tblPrEx>
        <w:tc>
          <w:tcPr>
            <w:tcW w:w="5400" w:type="dxa"/>
            <w:tcMar>
              <w:top w:w="80" w:type="dxa"/>
              <w:left w:w="100" w:type="dxa"/>
              <w:bottom w:w="80" w:type="dxa"/>
              <w:right w:w="100" w:type="dxa"/>
            </w:tcMar>
          </w:tcPr>
          <w:p>
            <w:r>
              <w:t>3</w:t>
            </w:r>
          </w:p>
        </w:tc>
        <w:tc>
          <w:tcPr>
            <w:tcW w:w="5400" w:type="dxa"/>
            <w:tcMar>
              <w:top w:w="80" w:type="dxa"/>
              <w:left w:w="100" w:type="dxa"/>
              <w:bottom w:w="80" w:type="dxa"/>
              <w:right w:w="100" w:type="dxa"/>
            </w:tcMar>
          </w:tcPr>
          <w:p>
            <w:r>
              <w:t>80.68</w:t>
            </w:r>
          </w:p>
        </w:tc>
      </w:tr>
      <w:tr w:rsidR="006B2F3B" w14:paraId="15CAA75D"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5</w:t>
            </w:r>
          </w:p>
        </w:tc>
        <w:tc>
          <w:tcPr>
            <w:tcW w:w="5400" w:type="dxa"/>
            <w:shd w:val="clear" w:color="auto" w:fill="F2F6FB"/>
            <w:tcMar>
              <w:top w:w="80" w:type="dxa"/>
              <w:left w:w="100" w:type="dxa"/>
              <w:bottom w:w="80" w:type="dxa"/>
              <w:right w:w="100" w:type="dxa"/>
            </w:tcMar>
          </w:tcPr>
          <w:p>
            <w:r>
              <w:t>78.37</w:t>
            </w:r>
          </w:p>
        </w:tc>
      </w:tr>
      <w:tr w:rsidR="006B2F3B" w14:paraId="0D6CAF79" w14:textId="77777777">
        <w:tblPrEx>
          <w:tblCellMar>
            <w:top w:w="0" w:type="dxa"/>
            <w:bottom w:w="0" w:type="dxa"/>
          </w:tblCellMar>
        </w:tblPrEx>
        <w:tc>
          <w:tcPr>
            <w:tcW w:w="5400" w:type="dxa"/>
            <w:tcMar>
              <w:top w:w="80" w:type="dxa"/>
              <w:left w:w="100" w:type="dxa"/>
              <w:bottom w:w="80" w:type="dxa"/>
              <w:right w:w="100" w:type="dxa"/>
            </w:tcMar>
          </w:tcPr>
          <w:p>
            <w:r>
              <w:t>10</w:t>
            </w:r>
          </w:p>
        </w:tc>
        <w:tc>
          <w:tcPr>
            <w:tcW w:w="5400" w:type="dxa"/>
            <w:tcMar>
              <w:top w:w="80" w:type="dxa"/>
              <w:left w:w="100" w:type="dxa"/>
              <w:bottom w:w="80" w:type="dxa"/>
              <w:right w:w="100" w:type="dxa"/>
            </w:tcMar>
          </w:tcPr>
          <w:p>
            <w:r>
              <w:t>73.79</w:t>
            </w:r>
          </w:p>
        </w:tc>
      </w:tr>
      <w:tr w:rsidR="006B2F3B" w14:paraId="3277B6E6"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25</w:t>
            </w:r>
          </w:p>
        </w:tc>
        <w:tc>
          <w:tcPr>
            <w:tcW w:w="5400" w:type="dxa"/>
            <w:shd w:val="clear" w:color="auto" w:fill="F2F6FB"/>
            <w:tcMar>
              <w:top w:w="80" w:type="dxa"/>
              <w:left w:w="100" w:type="dxa"/>
              <w:bottom w:w="80" w:type="dxa"/>
              <w:right w:w="100" w:type="dxa"/>
            </w:tcMar>
          </w:tcPr>
          <w:p>
            <w:r>
              <w:t>75.64</w:t>
            </w:r>
          </w:p>
        </w:tc>
      </w:tr>
      <w:tr w:rsidR="006B2F3B" w14:paraId="0A215682" w14:textId="77777777">
        <w:tblPrEx>
          <w:tblCellMar>
            <w:top w:w="0" w:type="dxa"/>
            <w:bottom w:w="0" w:type="dxa"/>
          </w:tblCellMar>
        </w:tblPrEx>
        <w:tc>
          <w:tcPr>
            <w:tcW w:w="5400" w:type="dxa"/>
            <w:tcMar>
              <w:top w:w="80" w:type="dxa"/>
              <w:left w:w="100" w:type="dxa"/>
              <w:bottom w:w="80" w:type="dxa"/>
              <w:right w:w="100" w:type="dxa"/>
            </w:tcMar>
          </w:tcPr>
          <w:p>
            <w:r>
              <w:t>50</w:t>
            </w:r>
          </w:p>
        </w:tc>
        <w:tc>
          <w:tcPr>
            <w:tcW w:w="5400" w:type="dxa"/>
            <w:tcMar>
              <w:top w:w="80" w:type="dxa"/>
              <w:left w:w="100" w:type="dxa"/>
              <w:bottom w:w="80" w:type="dxa"/>
              <w:right w:w="100" w:type="dxa"/>
            </w:tcMar>
          </w:tcPr>
          <w:p>
            <w:r>
              <w:t>74.85</w:t>
            </w:r>
          </w:p>
        </w:tc>
      </w:tr>
      <w:tr w:rsidR="006B2F3B" w14:paraId="25F478CB"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100</w:t>
            </w:r>
          </w:p>
        </w:tc>
        <w:tc>
          <w:tcPr>
            <w:tcW w:w="5400" w:type="dxa"/>
            <w:shd w:val="clear" w:color="auto" w:fill="F2F6FB"/>
            <w:tcMar>
              <w:top w:w="80" w:type="dxa"/>
              <w:left w:w="100" w:type="dxa"/>
              <w:bottom w:w="80" w:type="dxa"/>
              <w:right w:w="100" w:type="dxa"/>
            </w:tcMar>
          </w:tcPr>
          <w:p>
            <w:r>
              <w:t>74.96</w:t>
            </w:r>
          </w:p>
        </w:tc>
      </w:tr>
      <w:tr w:rsidR="006B2F3B" w14:paraId="2A4AC371" w14:textId="77777777">
        <w:tblPrEx>
          <w:tblCellMar>
            <w:top w:w="0" w:type="dxa"/>
            <w:bottom w:w="0" w:type="dxa"/>
          </w:tblCellMar>
        </w:tblPrEx>
        <w:tc>
          <w:tcPr>
            <w:tcW w:w="5400" w:type="dxa"/>
            <w:tcMar>
              <w:top w:w="80" w:type="dxa"/>
              <w:left w:w="100" w:type="dxa"/>
              <w:bottom w:w="80" w:type="dxa"/>
              <w:right w:w="100" w:type="dxa"/>
            </w:tcMar>
          </w:tcPr>
          <w:p>
            <w:r>
              <w:t>200</w:t>
            </w:r>
          </w:p>
        </w:tc>
        <w:tc>
          <w:tcPr>
            <w:tcW w:w="5400" w:type="dxa"/>
            <w:tcMar>
              <w:top w:w="80" w:type="dxa"/>
              <w:left w:w="100" w:type="dxa"/>
              <w:bottom w:w="80" w:type="dxa"/>
              <w:right w:w="100" w:type="dxa"/>
            </w:tcMar>
          </w:tcPr>
          <w:p>
            <w:r>
              <w:t>74.99</w:t>
            </w:r>
          </w:p>
        </w:tc>
      </w:tr>
      <w:tr w:rsidR="006B2F3B" w14:paraId="3750AAE7" w14:textId="77777777">
        <w:tblPrEx>
          <w:tblCellMar>
            <w:top w:w="0" w:type="dxa"/>
            <w:bottom w:w="0" w:type="dxa"/>
          </w:tblCellMar>
        </w:tblPrEx>
        <w:tc>
          <w:tcPr>
            <w:tcW w:w="5400" w:type="dxa"/>
            <w:shd w:val="clear" w:color="auto" w:fill="F2F6FB"/>
            <w:tcMar>
              <w:top w:w="80" w:type="dxa"/>
              <w:left w:w="100" w:type="dxa"/>
              <w:bottom w:w="80" w:type="dxa"/>
              <w:right w:w="100" w:type="dxa"/>
            </w:tcMar>
          </w:tcPr>
          <w:p>
            <w:r>
              <w:t>500</w:t>
            </w:r>
          </w:p>
        </w:tc>
        <w:tc>
          <w:tcPr>
            <w:tcW w:w="5400" w:type="dxa"/>
            <w:shd w:val="clear" w:color="auto" w:fill="F2F6FB"/>
            <w:tcMar>
              <w:top w:w="80" w:type="dxa"/>
              <w:left w:w="100" w:type="dxa"/>
              <w:bottom w:w="80" w:type="dxa"/>
              <w:right w:w="100" w:type="dxa"/>
            </w:tcMar>
          </w:tcPr>
          <w:p>
            <w:r>
              <w:t>75.00</w:t>
            </w:r>
          </w:p>
        </w:tc>
      </w:tr>
      <w:tr w:rsidR="006B2F3B" w14:paraId="67330B3A" w14:textId="77777777">
        <w:tblPrEx>
          <w:tblCellMar>
            <w:top w:w="0" w:type="dxa"/>
            <w:bottom w:w="0" w:type="dxa"/>
          </w:tblCellMar>
        </w:tblPrEx>
        <w:tc>
          <w:tcPr>
            <w:tcW w:w="5400" w:type="dxa"/>
            <w:tcMar>
              <w:top w:w="80" w:type="dxa"/>
              <w:left w:w="100" w:type="dxa"/>
              <w:bottom w:w="80" w:type="dxa"/>
              <w:right w:w="100" w:type="dxa"/>
            </w:tcMar>
          </w:tcPr>
          <w:p>
            <w:r>
              <w:t>Black-Scholes limit</w:t>
            </w:r>
          </w:p>
        </w:tc>
        <w:tc>
          <w:tcPr>
            <w:tcW w:w="5400" w:type="dxa"/>
            <w:tcMar>
              <w:top w:w="80" w:type="dxa"/>
              <w:left w:w="100" w:type="dxa"/>
              <w:bottom w:w="80" w:type="dxa"/>
              <w:right w:w="100" w:type="dxa"/>
            </w:tcMar>
          </w:tcPr>
          <w:p>
            <w:r>
              <w:t>₹74.98</w:t>
            </w:r>
          </w:p>
        </w:tc>
      </w:tr>
    </w:tbl>
    <w:p w14:paraId="2C429D04" w14:textId="77777777" w:rsidR="006B2F3B" w:rsidRDefault="006B2F3B">
      <w:pPr>
        <w:spacing w:before="200"/>
      </w:pPr>
      <w:r/>
    </w:p>
    <w:p w14:paraId="128E8057" w14:textId="77777777" w:rsidR="006B2F3B" w:rsidRDefault="00000000">
      <w:pPr>
        <w:spacing w:after="160" w:line="276" w:lineRule="auto"/>
        <w:jc w:val="both"/>
      </w:pPr>
      <w:r>
        <w:t>The price oscillates for small n before stabilising, a known odd/even step artefact of the binomial lattice. By n = 500, the binomial price is 75.00, only ₹0.02 away from the Black-Scholes historical-volatility price of ₹74.98. This confirms convergence of the discrete-time lattice toward the continuous-time limit. n = 50 is used for the headline binomial results as a practical balance between accuracy and computation.</w:t>
      </w:r>
    </w:p>
    <w:p w14:paraId="7FDE53EE" w14:textId="77777777" w:rsidR="006B2F3B" w:rsidRDefault="00000000">
      <w:pPr>
        <w:pStyle w:val="Heading1"/>
        <w:pBdr>
          <w:bottom w:val="single" w:sz="6" w:space="4" w:color="2E74B5"/>
        </w:pBdr>
        <w:spacing w:before="360" w:after="160"/>
      </w:pPr>
      <w:r>
        <w:t>8. Put-Call Parity Validation</w:t>
      </w:r>
    </w:p>
    <w:p w14:paraId="0F46D8DC" w14:textId="77777777" w:rsidR="006B2F3B" w:rsidRDefault="00000000">
      <w:pPr>
        <w:spacing w:after="160" w:line="276" w:lineRule="auto"/>
        <w:jc w:val="both"/>
      </w:pPr>
      <w:r>
        <w:t>European options must satisfy the no-arbitrage relationship:</w:t>
      </w:r>
    </w:p>
    <w:p w14:paraId="2BFA2C17" w14:textId="77777777" w:rsidR="006B2F3B" w:rsidRDefault="00000000">
      <w:pPr>
        <w:spacing w:before="120" w:after="160"/>
        <w:jc w:val="center"/>
      </w:pPr>
      <w:r>
        <w:t>C − P = S · exp(−qT) − K · exp(−rT)   (reduces to S − K·exp(−rT) when q = 0)</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200"/>
        <w:gridCol w:w="2000"/>
      </w:tblGrid>
      <w:tr w:rsidR="006B2F3B" w14:paraId="0997F396"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tcPr>
          <w:p>
            <w:r>
              <w:t>Model</w:t>
            </w:r>
          </w:p>
        </w:tc>
        <w:tc>
          <w:tcPr>
            <w:tcW w:w="2200" w:type="dxa"/>
            <w:shd w:val="clear" w:color="auto" w:fill="1F3864"/>
            <w:tcMar>
              <w:top w:w="80" w:type="dxa"/>
              <w:left w:w="100" w:type="dxa"/>
              <w:bottom w:w="80" w:type="dxa"/>
              <w:right w:w="100" w:type="dxa"/>
            </w:tcMar>
          </w:tcPr>
          <w:p>
            <w:r>
              <w:t>C − P</w:t>
            </w:r>
          </w:p>
        </w:tc>
        <w:tc>
          <w:tcPr>
            <w:tcW w:w="2200" w:type="dxa"/>
            <w:shd w:val="clear" w:color="auto" w:fill="1F3864"/>
            <w:tcMar>
              <w:top w:w="80" w:type="dxa"/>
              <w:left w:w="100" w:type="dxa"/>
              <w:bottom w:w="80" w:type="dxa"/>
              <w:right w:w="100" w:type="dxa"/>
            </w:tcMar>
          </w:tcPr>
          <w:p>
            <w:r>
              <w:t>Se−qT − Ke−rT</w:t>
            </w:r>
          </w:p>
        </w:tc>
        <w:tc>
          <w:tcPr>
            <w:tcW w:w="2000" w:type="dxa"/>
            <w:shd w:val="clear" w:color="auto" w:fill="1F3864"/>
            <w:tcMar>
              <w:top w:w="80" w:type="dxa"/>
              <w:left w:w="100" w:type="dxa"/>
              <w:bottom w:w="80" w:type="dxa"/>
              <w:right w:w="100" w:type="dxa"/>
            </w:tcMar>
          </w:tcPr>
          <w:p>
            <w:r>
              <w:t>Difference</w:t>
            </w:r>
          </w:p>
        </w:tc>
      </w:tr>
      <w:tr w:rsidR="006B2F3B" w14:paraId="07A9F663" w14:textId="77777777">
        <w:tblPrEx>
          <w:tblCellMar>
            <w:top w:w="0" w:type="dxa"/>
            <w:bottom w:w="0" w:type="dxa"/>
          </w:tblCellMar>
        </w:tblPrEx>
        <w:tc>
          <w:tcPr>
            <w:tcW w:w="4200" w:type="dxa"/>
            <w:tcMar>
              <w:top w:w="80" w:type="dxa"/>
              <w:left w:w="100" w:type="dxa"/>
              <w:bottom w:w="80" w:type="dxa"/>
              <w:right w:w="100" w:type="dxa"/>
            </w:tcMar>
          </w:tcPr>
          <w:p>
            <w:r>
              <w:t>Binomial — historical vol</w:t>
            </w:r>
          </w:p>
        </w:tc>
        <w:tc>
          <w:tcPr>
            <w:tcW w:w="2200" w:type="dxa"/>
            <w:tcMar>
              <w:top w:w="80" w:type="dxa"/>
              <w:left w:w="100" w:type="dxa"/>
              <w:bottom w:w="80" w:type="dxa"/>
              <w:right w:w="100" w:type="dxa"/>
            </w:tcMar>
          </w:tcPr>
          <w:p>
            <w:r>
              <w:t>14.88</w:t>
            </w:r>
          </w:p>
        </w:tc>
        <w:tc>
          <w:tcPr>
            <w:tcW w:w="2200" w:type="dxa"/>
            <w:tcMar>
              <w:top w:w="80" w:type="dxa"/>
              <w:left w:w="100" w:type="dxa"/>
              <w:bottom w:w="80" w:type="dxa"/>
              <w:right w:w="100" w:type="dxa"/>
            </w:tcMar>
          </w:tcPr>
          <w:p>
            <w:r>
              <w:t>14.88</w:t>
            </w:r>
          </w:p>
        </w:tc>
        <w:tc>
          <w:tcPr>
            <w:tcW w:w="2000" w:type="dxa"/>
            <w:tcMar>
              <w:top w:w="80" w:type="dxa"/>
              <w:left w:w="100" w:type="dxa"/>
              <w:bottom w:w="80" w:type="dxa"/>
              <w:right w:w="100" w:type="dxa"/>
            </w:tcMar>
          </w:tcPr>
          <w:p>
            <w:r>
              <w:t>0.00</w:t>
            </w:r>
          </w:p>
        </w:tc>
      </w:tr>
      <w:tr w:rsidR="006B2F3B" w14:paraId="034264C4" w14:textId="77777777">
        <w:tblPrEx>
          <w:tblCellMar>
            <w:top w:w="0" w:type="dxa"/>
            <w:bottom w:w="0" w:type="dxa"/>
          </w:tblCellMar>
        </w:tblPrEx>
        <w:tc>
          <w:tcPr>
            <w:tcW w:w="4200" w:type="dxa"/>
            <w:shd w:val="clear" w:color="auto" w:fill="F2F6FB"/>
            <w:tcMar>
              <w:top w:w="80" w:type="dxa"/>
              <w:left w:w="100" w:type="dxa"/>
              <w:bottom w:w="80" w:type="dxa"/>
              <w:right w:w="100" w:type="dxa"/>
            </w:tcMar>
          </w:tcPr>
          <w:p>
            <w:r>
              <w:t>Binomial — NSE-published IV</w:t>
            </w:r>
          </w:p>
        </w:tc>
        <w:tc>
          <w:tcPr>
            <w:tcW w:w="2200" w:type="dxa"/>
            <w:shd w:val="clear" w:color="auto" w:fill="F2F6FB"/>
            <w:tcMar>
              <w:top w:w="80" w:type="dxa"/>
              <w:left w:w="100" w:type="dxa"/>
              <w:bottom w:w="80" w:type="dxa"/>
              <w:right w:w="100" w:type="dxa"/>
            </w:tcMar>
          </w:tcPr>
          <w:p>
            <w:r>
              <w:t>14.88</w:t>
            </w:r>
          </w:p>
        </w:tc>
        <w:tc>
          <w:tcPr>
            <w:tcW w:w="2200" w:type="dxa"/>
            <w:shd w:val="clear" w:color="auto" w:fill="F2F6FB"/>
            <w:tcMar>
              <w:top w:w="80" w:type="dxa"/>
              <w:left w:w="100" w:type="dxa"/>
              <w:bottom w:w="80" w:type="dxa"/>
              <w:right w:w="100" w:type="dxa"/>
            </w:tcMar>
          </w:tcPr>
          <w:p>
            <w:r>
              <w:t>14.88</w:t>
            </w:r>
          </w:p>
        </w:tc>
        <w:tc>
          <w:tcPr>
            <w:tcW w:w="2000" w:type="dxa"/>
            <w:shd w:val="clear" w:color="auto" w:fill="F2F6FB"/>
            <w:tcMar>
              <w:top w:w="80" w:type="dxa"/>
              <w:left w:w="100" w:type="dxa"/>
              <w:bottom w:w="80" w:type="dxa"/>
              <w:right w:w="100" w:type="dxa"/>
            </w:tcMar>
          </w:tcPr>
          <w:p>
            <w:r>
              <w:t>0.00</w:t>
            </w:r>
          </w:p>
        </w:tc>
      </w:tr>
      <w:tr w:rsidR="006B2F3B" w14:paraId="373ABBFB" w14:textId="77777777">
        <w:tblPrEx>
          <w:tblCellMar>
            <w:top w:w="0" w:type="dxa"/>
            <w:bottom w:w="0" w:type="dxa"/>
          </w:tblCellMar>
        </w:tblPrEx>
        <w:tc>
          <w:tcPr>
            <w:tcW w:w="4200" w:type="dxa"/>
            <w:tcMar>
              <w:top w:w="80" w:type="dxa"/>
              <w:left w:w="100" w:type="dxa"/>
              <w:bottom w:w="80" w:type="dxa"/>
              <w:right w:w="100" w:type="dxa"/>
            </w:tcMar>
          </w:tcPr>
          <w:p>
            <w:r>
              <w:t>Binomial — solved IV</w:t>
            </w:r>
          </w:p>
        </w:tc>
        <w:tc>
          <w:tcPr>
            <w:tcW w:w="2200" w:type="dxa"/>
            <w:tcMar>
              <w:top w:w="80" w:type="dxa"/>
              <w:left w:w="100" w:type="dxa"/>
              <w:bottom w:w="80" w:type="dxa"/>
              <w:right w:w="100" w:type="dxa"/>
            </w:tcMar>
          </w:tcPr>
          <w:p>
            <w:r>
              <w:t>14.88</w:t>
            </w:r>
          </w:p>
        </w:tc>
        <w:tc>
          <w:tcPr>
            <w:tcW w:w="2200" w:type="dxa"/>
            <w:tcMar>
              <w:top w:w="80" w:type="dxa"/>
              <w:left w:w="100" w:type="dxa"/>
              <w:bottom w:w="80" w:type="dxa"/>
              <w:right w:w="100" w:type="dxa"/>
            </w:tcMar>
          </w:tcPr>
          <w:p>
            <w:r>
              <w:t>14.88</w:t>
            </w:r>
          </w:p>
        </w:tc>
        <w:tc>
          <w:tcPr>
            <w:tcW w:w="2000" w:type="dxa"/>
            <w:tcMar>
              <w:top w:w="80" w:type="dxa"/>
              <w:left w:w="100" w:type="dxa"/>
              <w:bottom w:w="80" w:type="dxa"/>
              <w:right w:w="100" w:type="dxa"/>
            </w:tcMar>
          </w:tcPr>
          <w:p>
            <w:r>
              <w:t>0.00</w:t>
            </w:r>
          </w:p>
        </w:tc>
      </w:tr>
      <w:tr>
        <w:tc>
          <w:tcPr>
            <w:tcW w:type="dxa" w:w="4200"/>
            <w:tcMar>
              <w:top w:w="80" w:type="dxa"/>
              <w:left w:w="100" w:type="dxa"/>
              <w:bottom w:w="80" w:type="dxa"/>
              <w:right w:w="100" w:type="dxa"/>
            </w:tcMar>
          </w:tcPr>
          <w:p>
            <w:r>
              <w:t>Black-Scholes — historical vol</w:t>
            </w:r>
          </w:p>
        </w:tc>
        <w:tc>
          <w:tcPr>
            <w:tcW w:type="dxa" w:w="2200"/>
            <w:tcMar>
              <w:top w:w="80" w:type="dxa"/>
              <w:left w:w="100" w:type="dxa"/>
              <w:bottom w:w="80" w:type="dxa"/>
              <w:right w:w="100" w:type="dxa"/>
            </w:tcMar>
          </w:tcPr>
          <w:p>
            <w:r>
              <w:t>14.88</w:t>
            </w:r>
          </w:p>
        </w:tc>
        <w:tc>
          <w:tcPr>
            <w:tcW w:type="dxa" w:w="2200"/>
            <w:tcMar>
              <w:top w:w="80" w:type="dxa"/>
              <w:left w:w="100" w:type="dxa"/>
              <w:bottom w:w="80" w:type="dxa"/>
              <w:right w:w="100" w:type="dxa"/>
            </w:tcMar>
          </w:tcPr>
          <w:p>
            <w:r>
              <w:t>14.88</w:t>
            </w:r>
          </w:p>
        </w:tc>
        <w:tc>
          <w:tcPr>
            <w:tcW w:type="dxa" w:w="2000"/>
            <w:tcMar>
              <w:top w:w="80" w:type="dxa"/>
              <w:left w:w="100" w:type="dxa"/>
              <w:bottom w:w="80" w:type="dxa"/>
              <w:right w:w="100" w:type="dxa"/>
            </w:tcMar>
          </w:tcPr>
          <w:p>
            <w:r>
              <w:t>0.00</w:t>
            </w:r>
          </w:p>
        </w:tc>
      </w:tr>
      <w:tr>
        <w:tc>
          <w:tcPr>
            <w:tcW w:type="dxa" w:w="4200"/>
            <w:tcMar>
              <w:top w:w="80" w:type="dxa"/>
              <w:left w:w="100" w:type="dxa"/>
              <w:bottom w:w="80" w:type="dxa"/>
              <w:right w:w="100" w:type="dxa"/>
            </w:tcMar>
          </w:tcPr>
          <w:p>
            <w:r>
              <w:t>Black-Scholes — NSE-published IV</w:t>
            </w:r>
          </w:p>
        </w:tc>
        <w:tc>
          <w:tcPr>
            <w:tcW w:type="dxa" w:w="2200"/>
            <w:tcMar>
              <w:top w:w="80" w:type="dxa"/>
              <w:left w:w="100" w:type="dxa"/>
              <w:bottom w:w="80" w:type="dxa"/>
              <w:right w:w="100" w:type="dxa"/>
            </w:tcMar>
          </w:tcPr>
          <w:p>
            <w:r>
              <w:t>14.88</w:t>
            </w:r>
          </w:p>
        </w:tc>
        <w:tc>
          <w:tcPr>
            <w:tcW w:type="dxa" w:w="2200"/>
            <w:tcMar>
              <w:top w:w="80" w:type="dxa"/>
              <w:left w:w="100" w:type="dxa"/>
              <w:bottom w:w="80" w:type="dxa"/>
              <w:right w:w="100" w:type="dxa"/>
            </w:tcMar>
          </w:tcPr>
          <w:p>
            <w:r>
              <w:t>14.88</w:t>
            </w:r>
          </w:p>
        </w:tc>
        <w:tc>
          <w:tcPr>
            <w:tcW w:type="dxa" w:w="2000"/>
            <w:tcMar>
              <w:top w:w="80" w:type="dxa"/>
              <w:left w:w="100" w:type="dxa"/>
              <w:bottom w:w="80" w:type="dxa"/>
              <w:right w:w="100" w:type="dxa"/>
            </w:tcMar>
          </w:tcPr>
          <w:p>
            <w:r>
              <w:t>0.00</w:t>
            </w:r>
          </w:p>
        </w:tc>
      </w:tr>
      <w:tr>
        <w:tc>
          <w:tcPr>
            <w:tcW w:type="dxa" w:w="4200"/>
            <w:tcMar>
              <w:top w:w="80" w:type="dxa"/>
              <w:left w:w="100" w:type="dxa"/>
              <w:bottom w:w="80" w:type="dxa"/>
              <w:right w:w="100" w:type="dxa"/>
            </w:tcMar>
          </w:tcPr>
          <w:p>
            <w:r>
              <w:t>Black-Scholes — solved IV</w:t>
            </w:r>
          </w:p>
        </w:tc>
        <w:tc>
          <w:tcPr>
            <w:tcW w:type="dxa" w:w="2200"/>
            <w:tcMar>
              <w:top w:w="80" w:type="dxa"/>
              <w:left w:w="100" w:type="dxa"/>
              <w:bottom w:w="80" w:type="dxa"/>
              <w:right w:w="100" w:type="dxa"/>
            </w:tcMar>
          </w:tcPr>
          <w:p>
            <w:r>
              <w:t>14.88</w:t>
            </w:r>
          </w:p>
        </w:tc>
        <w:tc>
          <w:tcPr>
            <w:tcW w:type="dxa" w:w="2200"/>
            <w:tcMar>
              <w:top w:w="80" w:type="dxa"/>
              <w:left w:w="100" w:type="dxa"/>
              <w:bottom w:w="80" w:type="dxa"/>
              <w:right w:w="100" w:type="dxa"/>
            </w:tcMar>
          </w:tcPr>
          <w:p>
            <w:r>
              <w:t>14.88</w:t>
            </w:r>
          </w:p>
        </w:tc>
        <w:tc>
          <w:tcPr>
            <w:tcW w:type="dxa" w:w="2000"/>
            <w:tcMar>
              <w:top w:w="80" w:type="dxa"/>
              <w:left w:w="100" w:type="dxa"/>
              <w:bottom w:w="80" w:type="dxa"/>
              <w:right w:w="100" w:type="dxa"/>
            </w:tcMar>
          </w:tcPr>
          <w:p>
            <w:r>
              <w:t>0.00</w:t>
            </w:r>
          </w:p>
        </w:tc>
      </w:tr>
    </w:tbl>
    <w:p w14:paraId="634A5456" w14:textId="77777777" w:rsidR="006B2F3B" w:rsidRDefault="006B2F3B">
      <w:pPr>
        <w:spacing w:before="200"/>
      </w:pPr>
      <w:r/>
    </w:p>
    <w:p w14:paraId="35926460" w14:textId="77777777" w:rsidR="006B2F3B" w:rsidRDefault="00000000">
      <w:pPr>
        <w:spacing w:after="160" w:line="276" w:lineRule="auto"/>
        <w:jc w:val="both"/>
      </w:pPr>
      <w:r>
        <w:t>The historical-volatility, published-IV, and solved-IV configurations all satisfy put-call parity to rounding precision. For the binomial model, C − P = 14.88 and S − Ke⁻ʳᵀ = 14.88. This confirms internal consistency of the pricing framework; it is not a test of market no-arbitrage, which would require comparing live call and put market prices.</w:t>
      </w:r>
    </w:p>
    <w:p w14:paraId="4C217763" w14:textId="77777777" w:rsidR="006B2F3B" w:rsidRDefault="00000000">
      <w:pPr>
        <w:pStyle w:val="Heading1"/>
        <w:pBdr>
          <w:bottom w:val="single" w:sz="6" w:space="4" w:color="2E74B5"/>
        </w:pBdr>
        <w:spacing w:before="360" w:after="160"/>
      </w:pPr>
      <w:r>
        <w:t>9. Volatility Skew</w:t>
      </w:r>
    </w:p>
    <w:p w14:paraId="3AEDF9DD" w14:textId="40B0B0D5" w:rsidR="006B2F3B" w:rsidRDefault="00000000">
      <w:pPr>
        <w:spacing w:after="160" w:line="276" w:lineRule="auto"/>
        <w:jc w:val="both"/>
      </w:pPr>
      <w:r>
        <w:t>Black-Scholes assumes a single constant σ applies across strikes and maturities. The NSE options chain for the 29 Sep 2026 expiry shows materially different implied-volatility levels across strikes, providing evidence of volatility skew and demonstrating why a single volatility input cannot represent the entire option surface.</w:t>
      </w:r>
    </w:p>
    <w:p w14:paraId="56977883" w14:textId="77777777" w:rsidR="006B2F3B" w:rsidRDefault="00000000">
      <w:pPr>
        <w:pStyle w:val="ListParagraph"/>
        <w:numPr>
          <w:ilvl w:val="0"/>
          <w:numId w:val="2"/>
        </w:numPr>
        <w:spacing w:after="70"/>
      </w:pPr>
      <w:r>
        <w:t>Call IV across liquid strikes ranges from 22.6% to 53.6%</w:t>
      </w:r>
    </w:p>
    <w:p w14:paraId="0BF722A5" w14:textId="77777777" w:rsidR="006B2F3B" w:rsidRDefault="00000000">
      <w:pPr>
        <w:pStyle w:val="ListParagraph"/>
        <w:numPr>
          <w:ilvl w:val="0"/>
          <w:numId w:val="2"/>
        </w:numPr>
        <w:spacing w:after="70"/>
      </w:pPr>
      <w:r>
        <w:t>Put IV across liquid strikes ranges from 12.0% to 29.8%</w:t>
      </w:r>
    </w:p>
    <w:p w14:paraId="22F8BA62" w14:textId="77777777" w:rsidR="006B2F3B" w:rsidRDefault="00000000">
      <w:pPr>
        <w:pStyle w:val="ListParagraph"/>
        <w:numPr>
          <w:ilvl w:val="0"/>
          <w:numId w:val="2"/>
        </w:numPr>
        <w:spacing w:after="70"/>
      </w:pPr>
      <w:r>
        <w:t>At the strike closest to ATM with a liquid quote on both sides (2300), call IV exceeds the other side by 0.8 percentage points. (Figures above are restricted to strikes that clear the OI/Volume liquidity filter.)</w:t>
      </w:r>
    </w:p>
    <w:p w14:paraId="3B12FC0C" w14:textId="77777777" w:rsidR="006B2F3B" w:rsidRDefault="00000000">
      <w:pPr>
        <w:spacing w:after="160" w:line="276" w:lineRule="auto"/>
        <w:jc w:val="both"/>
      </w:pPr>
      <w:r>
        <w:t>This skew has a structural explanation: institutional investors routinely buy OTM puts as portfolio insurance, and falling prices mechanically raise leverage and risk -- both push put prices up relative to calls, with no equivalent buying pressure on the call side.</w:t>
      </w:r>
    </w:p>
    <w:p w14:paraId="625C25E9" w14:textId="77777777" w:rsidR="006B2F3B" w:rsidRDefault="00000000">
      <w:pPr>
        <w:spacing w:after="160" w:line="276" w:lineRule="auto"/>
        <w:jc w:val="both"/>
      </w:pPr>
      <w:r>
        <w:t>The practical implication for Black-Scholes: a single σ cannot correctly price calls and puts across all strikes simultaneously. Using historical volatility overprices the ATM call relative to the market; using ATM implied volatility underprices it (Section 6). The model is most wrong at the wings of the distribution — precisely where fat tails and skew matter most, and where the constant-volatility, log-normal assumption departs furthest from what the market is actually pricing.</w:t>
      </w:r>
    </w:p>
    <w:p w14:paraId="0427356A" w14:textId="77777777" w:rsidR="006B2F3B" w:rsidRDefault="00000000">
      <w:pPr>
        <w:pStyle w:val="Heading1"/>
        <w:pBdr>
          <w:bottom w:val="single" w:sz="6" w:space="4" w:color="2E74B5"/>
        </w:pBdr>
        <w:spacing w:before="360" w:after="160"/>
      </w:pPr>
      <w:r>
        <w:t>10. Model Limitations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6B2F3B" w14:paraId="6EA1D6D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F38C7D8" w14:textId="77777777" w:rsidR="006B2F3B" w:rsidRDefault="00000000">
            <w:pPr>
              <w:jc w:val="center"/>
            </w:pPr>
            <w:r>
              <w:rPr>
                <w:b/>
                <w:bCs/>
                <w:color w:val="FFFFFF"/>
              </w:rPr>
              <w:lastRenderedPageBreak/>
              <w:t>Assumption</w:t>
            </w:r>
          </w:p>
        </w:tc>
        <w:tc>
          <w:tcPr>
            <w:tcW w:w="6600" w:type="dxa"/>
            <w:shd w:val="clear" w:color="auto" w:fill="1F3864"/>
            <w:tcMar>
              <w:top w:w="80" w:type="dxa"/>
              <w:left w:w="100" w:type="dxa"/>
              <w:bottom w:w="80" w:type="dxa"/>
              <w:right w:w="100" w:type="dxa"/>
            </w:tcMar>
          </w:tcPr>
          <w:p w14:paraId="7057AD57" w14:textId="77777777" w:rsidR="006B2F3B" w:rsidRDefault="00000000">
            <w:pPr>
              <w:jc w:val="center"/>
            </w:pPr>
            <w:r>
              <w:rPr>
                <w:b/>
                <w:bCs/>
                <w:color w:val="FFFFFF"/>
              </w:rPr>
              <w:t>Practical Limitation</w:t>
            </w:r>
          </w:p>
        </w:tc>
      </w:tr>
      <w:tr w:rsidR="006B2F3B" w14:paraId="7BBC8AF5" w14:textId="77777777">
        <w:tblPrEx>
          <w:tblCellMar>
            <w:top w:w="0" w:type="dxa"/>
            <w:bottom w:w="0" w:type="dxa"/>
          </w:tblCellMar>
        </w:tblPrEx>
        <w:tc>
          <w:tcPr>
            <w:tcW w:w="3200" w:type="dxa"/>
            <w:tcMar>
              <w:top w:w="80" w:type="dxa"/>
              <w:left w:w="100" w:type="dxa"/>
              <w:bottom w:w="80" w:type="dxa"/>
              <w:right w:w="100" w:type="dxa"/>
            </w:tcMar>
          </w:tcPr>
          <w:p w14:paraId="51BB05A3" w14:textId="77777777" w:rsidR="006B2F3B" w:rsidRDefault="00000000">
            <w:r>
              <w:rPr>
                <w:color w:val="000000"/>
              </w:rPr>
              <w:t>Constant volatility</w:t>
            </w:r>
          </w:p>
        </w:tc>
        <w:tc>
          <w:tcPr>
            <w:tcW w:w="6600" w:type="dxa"/>
            <w:tcMar>
              <w:top w:w="80" w:type="dxa"/>
              <w:left w:w="100" w:type="dxa"/>
              <w:bottom w:w="80" w:type="dxa"/>
              <w:right w:w="100" w:type="dxa"/>
            </w:tcMar>
          </w:tcPr>
          <w:p w14:paraId="0ED425D8" w14:textId="77777777" w:rsidR="006B2F3B" w:rsidRDefault="00000000">
            <w:pPr>
              <w:jc w:val="center"/>
            </w:pPr>
            <w:r>
              <w:rPr>
                <w:color w:val="000000"/>
              </w:rPr>
              <w:t>Real-world volatility varies by strike (the smile) and clusters over time during market stress</w:t>
            </w:r>
          </w:p>
        </w:tc>
      </w:tr>
      <w:tr w:rsidR="006B2F3B" w14:paraId="2D873FE5"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0B2BE1C0" w14:textId="77777777" w:rsidR="006B2F3B" w:rsidRDefault="00000000">
            <w:r>
              <w:rPr>
                <w:color w:val="000000"/>
              </w:rPr>
              <w:t>Log-normal prices</w:t>
            </w:r>
          </w:p>
        </w:tc>
        <w:tc>
          <w:tcPr>
            <w:tcW w:w="6600" w:type="dxa"/>
            <w:shd w:val="clear" w:color="auto" w:fill="F2F6FB"/>
            <w:tcMar>
              <w:top w:w="80" w:type="dxa"/>
              <w:left w:w="100" w:type="dxa"/>
              <w:bottom w:w="80" w:type="dxa"/>
              <w:right w:w="100" w:type="dxa"/>
            </w:tcMar>
          </w:tcPr>
          <w:p w14:paraId="2D804942" w14:textId="77777777" w:rsidR="006B2F3B" w:rsidRDefault="00000000">
            <w:pPr>
              <w:jc w:val="center"/>
            </w:pPr>
            <w:r>
              <w:rPr>
                <w:color w:val="000000"/>
              </w:rPr>
              <w:t>Financial returns exhibit fat tails and negative skew relative to the log-normal assumption</w:t>
            </w:r>
          </w:p>
        </w:tc>
      </w:tr>
      <w:tr w:rsidR="006B2F3B" w14:paraId="43A799C6" w14:textId="77777777">
        <w:tblPrEx>
          <w:tblCellMar>
            <w:top w:w="0" w:type="dxa"/>
            <w:bottom w:w="0" w:type="dxa"/>
          </w:tblCellMar>
        </w:tblPrEx>
        <w:tc>
          <w:tcPr>
            <w:tcW w:w="3200" w:type="dxa"/>
            <w:tcMar>
              <w:top w:w="80" w:type="dxa"/>
              <w:left w:w="100" w:type="dxa"/>
              <w:bottom w:w="80" w:type="dxa"/>
              <w:right w:w="100" w:type="dxa"/>
            </w:tcMar>
          </w:tcPr>
          <w:p w14:paraId="38AB02A4" w14:textId="77777777" w:rsidR="006B2F3B" w:rsidRDefault="00000000">
            <w:r>
              <w:rPr>
                <w:color w:val="000000"/>
              </w:rPr>
              <w:t>No dividends</w:t>
            </w:r>
          </w:p>
        </w:tc>
        <w:tc>
          <w:tcPr>
            <w:tcW w:w="6600" w:type="dxa"/>
            <w:tcMar>
              <w:top w:w="80" w:type="dxa"/>
              <w:left w:w="100" w:type="dxa"/>
              <w:bottom w:w="80" w:type="dxa"/>
              <w:right w:w="100" w:type="dxa"/>
            </w:tcMar>
          </w:tcPr>
          <w:p w14:paraId="13912E3D" w14:textId="77777777" w:rsidR="006B2F3B" w:rsidRDefault="00000000">
            <w:pPr>
              <w:jc w:val="center"/>
            </w:pPr>
            <w:r>
              <w:rPr>
                <w:color w:val="000000"/>
              </w:rPr>
              <w:t>TCS pays dividends, which slightly affects pricing accuracy for options spanning ex-dividend dates</w:t>
            </w:r>
          </w:p>
        </w:tc>
      </w:tr>
      <w:tr w:rsidR="006B2F3B" w14:paraId="06BE18A3"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0FC322F0" w14:textId="77777777" w:rsidR="006B2F3B" w:rsidRDefault="00000000">
            <w:r>
              <w:rPr>
                <w:color w:val="000000"/>
              </w:rPr>
              <w:t>Discrete time steps</w:t>
            </w:r>
          </w:p>
        </w:tc>
        <w:tc>
          <w:tcPr>
            <w:tcW w:w="6600" w:type="dxa"/>
            <w:shd w:val="clear" w:color="auto" w:fill="F2F6FB"/>
            <w:tcMar>
              <w:top w:w="80" w:type="dxa"/>
              <w:left w:w="100" w:type="dxa"/>
              <w:bottom w:w="80" w:type="dxa"/>
              <w:right w:w="100" w:type="dxa"/>
            </w:tcMar>
          </w:tcPr>
          <w:p w14:paraId="4C201B24" w14:textId="77777777" w:rsidR="006B2F3B" w:rsidRDefault="00000000">
            <w:pPr>
              <w:jc w:val="center"/>
            </w:pPr>
            <w:r>
              <w:rPr>
                <w:color w:val="000000"/>
              </w:rPr>
              <w:t>Real stock prices evolve continuously; the binomial lattice is an approximation</w:t>
            </w:r>
          </w:p>
        </w:tc>
      </w:tr>
      <w:tr w:rsidR="006B2F3B" w14:paraId="4714E62F" w14:textId="77777777">
        <w:tblPrEx>
          <w:tblCellMar>
            <w:top w:w="0" w:type="dxa"/>
            <w:bottom w:w="0" w:type="dxa"/>
          </w:tblCellMar>
        </w:tblPrEx>
        <w:tc>
          <w:tcPr>
            <w:tcW w:w="3200" w:type="dxa"/>
            <w:tcMar>
              <w:top w:w="80" w:type="dxa"/>
              <w:left w:w="100" w:type="dxa"/>
              <w:bottom w:w="80" w:type="dxa"/>
              <w:right w:w="100" w:type="dxa"/>
            </w:tcMar>
          </w:tcPr>
          <w:p w14:paraId="45C3CF8D" w14:textId="77777777" w:rsidR="006B2F3B" w:rsidRDefault="00000000">
            <w:r>
              <w:rPr>
                <w:color w:val="000000"/>
              </w:rPr>
              <w:t>No transaction costs</w:t>
            </w:r>
          </w:p>
        </w:tc>
        <w:tc>
          <w:tcPr>
            <w:tcW w:w="6600" w:type="dxa"/>
            <w:tcMar>
              <w:top w:w="80" w:type="dxa"/>
              <w:left w:w="100" w:type="dxa"/>
              <w:bottom w:w="80" w:type="dxa"/>
              <w:right w:w="100" w:type="dxa"/>
            </w:tcMar>
          </w:tcPr>
          <w:p w14:paraId="03FE1FC1" w14:textId="77777777" w:rsidR="006B2F3B" w:rsidRDefault="00000000">
            <w:pPr>
              <w:jc w:val="center"/>
            </w:pPr>
            <w:r>
              <w:rPr>
                <w:color w:val="000000"/>
              </w:rPr>
              <w:t>Continuous replication/hedging is costly in practice</w:t>
            </w:r>
          </w:p>
        </w:tc>
      </w:tr>
      <w:tr w:rsidR="006B2F3B" w14:paraId="7F5FAA47"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07CF8653" w14:textId="77777777" w:rsidR="006B2F3B" w:rsidRDefault="00000000">
            <w:r>
              <w:rPr>
                <w:color w:val="000000"/>
              </w:rPr>
              <w:t>Constant risk-free rate</w:t>
            </w:r>
          </w:p>
        </w:tc>
        <w:tc>
          <w:tcPr>
            <w:tcW w:w="6600" w:type="dxa"/>
            <w:shd w:val="clear" w:color="auto" w:fill="F2F6FB"/>
            <w:tcMar>
              <w:top w:w="80" w:type="dxa"/>
              <w:left w:w="100" w:type="dxa"/>
              <w:bottom w:w="80" w:type="dxa"/>
              <w:right w:w="100" w:type="dxa"/>
            </w:tcMar>
          </w:tcPr>
          <w:p w14:paraId="3F60CB2F" w14:textId="77777777" w:rsidR="006B2F3B" w:rsidRDefault="00000000">
            <w:pPr>
              <w:jc w:val="center"/>
            </w:pPr>
            <w:r>
              <w:rPr>
                <w:color w:val="000000"/>
              </w:rPr>
              <w:t>Rates can change materially over longer-dated option maturities</w:t>
            </w:r>
          </w:p>
        </w:tc>
      </w:tr>
    </w:tbl>
    <w:p w14:paraId="14146EB1" w14:textId="77777777" w:rsidR="006B2F3B" w:rsidRDefault="006B2F3B">
      <w:pPr>
        <w:spacing w:before="200"/>
      </w:pPr>
      <w:r/>
    </w:p>
    <w:p w14:paraId="6EE72A61" w14:textId="5B543BA4" w:rsidR="006B2F3B" w:rsidRDefault="00000000">
      <w:pPr>
        <w:spacing w:after="160" w:line="276" w:lineRule="auto"/>
        <w:jc w:val="both"/>
      </w:pPr>
      <w:r>
        <w:t>The most consequential limitation here is constant volatility. The NSE-published ATM IV of 23.51%, the solved market-price IV of 24.60%, and the one-year historical volatility of 28.07% are materially different measures of uncertainty. This demonstrates that a single volatility assumption is only an approximation, even for a single short-dated contract, before considering variation across strikes and maturities.</w:t>
      </w:r>
    </w:p>
    <w:p w14:paraId="6C0BCA45" w14:textId="77777777" w:rsidR="006B2F3B" w:rsidRDefault="00000000">
      <w:pPr>
        <w:pStyle w:val="Heading1"/>
        <w:pBdr>
          <w:bottom w:val="single" w:sz="6" w:space="4" w:color="2E74B5"/>
        </w:pBdr>
        <w:spacing w:before="360" w:after="160"/>
      </w:pPr>
      <w:r>
        <w:t>11. Greeks (Black-Scholes Analytical)</w:t>
      </w:r>
    </w:p>
    <w:p w14:paraId="1B5BB4DA" w14:textId="144A30FC" w:rsidR="006B2F3B" w:rsidRDefault="00000000">
      <w:pPr>
        <w:spacing w:after="160" w:line="276" w:lineRule="auto"/>
        <w:jc w:val="both"/>
      </w:pPr>
      <w:r>
        <w:t>All Greeks below are computed analytically from the Black-Scholes closed-form solution -- not from the binomial tree -- since Black-Scholes gives Greeks directly as formulas, while the binomial model would need finite-difference bumping to approximate the same thing. The table reports Greeks at historical volatility and at the solved IV, which is the volatility calibrated to the observed market premium.</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100"/>
        <w:gridCol w:w="2100"/>
        <w:gridCol w:w="2100"/>
      </w:tblGrid>
      <w:tr w:rsidR="006B2F3B" w14:paraId="3D60E6D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r>
              <w:t>Greek</w:t>
            </w:r>
          </w:p>
        </w:tc>
        <w:tc>
          <w:tcPr>
            <w:tcW w:w="2100" w:type="dxa"/>
            <w:shd w:val="clear" w:color="auto" w:fill="1F3864"/>
            <w:tcMar>
              <w:top w:w="80" w:type="dxa"/>
              <w:left w:w="100" w:type="dxa"/>
              <w:bottom w:w="80" w:type="dxa"/>
              <w:right w:w="100" w:type="dxa"/>
            </w:tcMar>
          </w:tcPr>
          <w:p>
            <w:r>
              <w:t>Hist vol (28.07%) — Call</w:t>
            </w:r>
          </w:p>
        </w:tc>
        <w:tc>
          <w:tcPr>
            <w:tcW w:w="2100" w:type="dxa"/>
            <w:shd w:val="clear" w:color="auto" w:fill="1F3864"/>
            <w:tcMar>
              <w:top w:w="80" w:type="dxa"/>
              <w:left w:w="100" w:type="dxa"/>
              <w:bottom w:w="80" w:type="dxa"/>
              <w:right w:w="100" w:type="dxa"/>
            </w:tcMar>
          </w:tcPr>
          <w:p>
            <w:r>
              <w:t>Hist vol — Put</w:t>
            </w:r>
          </w:p>
        </w:tc>
        <w:tc>
          <w:tcPr>
            <w:tcW w:w="2100" w:type="dxa"/>
            <w:shd w:val="clear" w:color="auto" w:fill="1F3864"/>
            <w:tcMar>
              <w:top w:w="80" w:type="dxa"/>
              <w:left w:w="100" w:type="dxa"/>
              <w:bottom w:w="80" w:type="dxa"/>
              <w:right w:w="100" w:type="dxa"/>
            </w:tcMar>
          </w:tcPr>
          <w:p>
            <w:r>
              <w:t>Solved IV (24.60%) — Call</w:t>
            </w:r>
          </w:p>
        </w:tc>
        <w:tc>
          <w:tcPr>
            <w:tcW w:w="2100" w:type="dxa"/>
            <w:shd w:val="clear" w:color="auto" w:fill="1F3864"/>
            <w:tcMar>
              <w:top w:w="80" w:type="dxa"/>
              <w:left w:w="100" w:type="dxa"/>
              <w:bottom w:w="80" w:type="dxa"/>
              <w:right w:w="100" w:type="dxa"/>
            </w:tcMar>
          </w:tcPr>
          <w:p>
            <w:r>
              <w:t>Solved IV — Put</w:t>
            </w:r>
          </w:p>
        </w:tc>
      </w:tr>
      <w:tr w:rsidR="006B2F3B" w14:paraId="634880A2" w14:textId="77777777">
        <w:tblPrEx>
          <w:tblCellMar>
            <w:top w:w="0" w:type="dxa"/>
            <w:bottom w:w="0" w:type="dxa"/>
          </w:tblCellMar>
        </w:tblPrEx>
        <w:tc>
          <w:tcPr>
            <w:tcW w:w="2200" w:type="dxa"/>
            <w:tcMar>
              <w:top w:w="80" w:type="dxa"/>
              <w:left w:w="100" w:type="dxa"/>
              <w:bottom w:w="80" w:type="dxa"/>
              <w:right w:w="100" w:type="dxa"/>
            </w:tcMar>
          </w:tcPr>
          <w:p>
            <w:r>
              <w:t>Delta</w:t>
            </w:r>
          </w:p>
        </w:tc>
        <w:tc>
          <w:tcPr>
            <w:tcW w:w="2100" w:type="dxa"/>
            <w:tcMar>
              <w:top w:w="80" w:type="dxa"/>
              <w:left w:w="100" w:type="dxa"/>
              <w:bottom w:w="80" w:type="dxa"/>
              <w:right w:w="100" w:type="dxa"/>
            </w:tcMar>
          </w:tcPr>
          <w:p>
            <w:r>
              <w:t>0.550</w:t>
            </w:r>
          </w:p>
        </w:tc>
        <w:tc>
          <w:tcPr>
            <w:tcW w:w="2100" w:type="dxa"/>
            <w:tcMar>
              <w:top w:w="80" w:type="dxa"/>
              <w:left w:w="100" w:type="dxa"/>
              <w:bottom w:w="80" w:type="dxa"/>
              <w:right w:w="100" w:type="dxa"/>
            </w:tcMar>
          </w:tcPr>
          <w:p>
            <w:r>
              <w:t>-0.450</w:t>
            </w:r>
          </w:p>
        </w:tc>
        <w:tc>
          <w:tcPr>
            <w:tcW w:w="2100" w:type="dxa"/>
            <w:tcMar>
              <w:top w:w="80" w:type="dxa"/>
              <w:left w:w="100" w:type="dxa"/>
              <w:bottom w:w="80" w:type="dxa"/>
              <w:right w:w="100" w:type="dxa"/>
            </w:tcMar>
          </w:tcPr>
          <w:p>
            <w:r>
              <w:t>0.553</w:t>
            </w:r>
          </w:p>
        </w:tc>
        <w:tc>
          <w:tcPr>
            <w:tcW w:w="2100" w:type="dxa"/>
            <w:tcMar>
              <w:top w:w="80" w:type="dxa"/>
              <w:left w:w="100" w:type="dxa"/>
              <w:bottom w:w="80" w:type="dxa"/>
              <w:right w:w="100" w:type="dxa"/>
            </w:tcMar>
          </w:tcPr>
          <w:p>
            <w:r>
              <w:t>-0.447</w:t>
            </w:r>
          </w:p>
        </w:tc>
      </w:tr>
      <w:tr w:rsidR="006B2F3B" w14:paraId="1776EF8F" w14:textId="77777777">
        <w:tblPrEx>
          <w:tblCellMar>
            <w:top w:w="0" w:type="dxa"/>
            <w:bottom w:w="0" w:type="dxa"/>
          </w:tblCellMar>
        </w:tblPrEx>
        <w:tc>
          <w:tcPr>
            <w:tcW w:w="2200" w:type="dxa"/>
            <w:shd w:val="clear" w:color="auto" w:fill="F2F6FB"/>
            <w:tcMar>
              <w:top w:w="80" w:type="dxa"/>
              <w:left w:w="100" w:type="dxa"/>
              <w:bottom w:w="80" w:type="dxa"/>
              <w:right w:w="100" w:type="dxa"/>
            </w:tcMar>
          </w:tcPr>
          <w:p>
            <w:r>
              <w:t>Gamma</w:t>
            </w:r>
          </w:p>
        </w:tc>
        <w:tc>
          <w:tcPr>
            <w:tcW w:w="2100" w:type="dxa"/>
            <w:shd w:val="clear" w:color="auto" w:fill="F2F6FB"/>
            <w:tcMar>
              <w:top w:w="80" w:type="dxa"/>
              <w:left w:w="100" w:type="dxa"/>
              <w:bottom w:w="80" w:type="dxa"/>
              <w:right w:w="100" w:type="dxa"/>
            </w:tcMar>
          </w:tcPr>
          <w:p>
            <w:r>
              <w:t>0.0023</w:t>
            </w:r>
          </w:p>
        </w:tc>
        <w:tc>
          <w:tcPr>
            <w:tcW w:w="2100" w:type="dxa"/>
            <w:shd w:val="clear" w:color="auto" w:fill="F2F6FB"/>
            <w:tcMar>
              <w:top w:w="80" w:type="dxa"/>
              <w:left w:w="100" w:type="dxa"/>
              <w:bottom w:w="80" w:type="dxa"/>
              <w:right w:w="100" w:type="dxa"/>
            </w:tcMar>
          </w:tcPr>
          <w:p>
            <w:r>
              <w:t>0.0023</w:t>
            </w:r>
          </w:p>
        </w:tc>
        <w:tc>
          <w:tcPr>
            <w:tcW w:w="2100" w:type="dxa"/>
            <w:shd w:val="clear" w:color="auto" w:fill="F2F6FB"/>
            <w:tcMar>
              <w:top w:w="80" w:type="dxa"/>
              <w:left w:w="100" w:type="dxa"/>
              <w:bottom w:w="80" w:type="dxa"/>
              <w:right w:w="100" w:type="dxa"/>
            </w:tcMar>
          </w:tcPr>
          <w:p>
            <w:r>
              <w:t>0.0027</w:t>
            </w:r>
          </w:p>
        </w:tc>
        <w:tc>
          <w:tcPr>
            <w:tcW w:w="2100" w:type="dxa"/>
            <w:shd w:val="clear" w:color="auto" w:fill="F2F6FB"/>
            <w:tcMar>
              <w:top w:w="80" w:type="dxa"/>
              <w:left w:w="100" w:type="dxa"/>
              <w:bottom w:w="80" w:type="dxa"/>
              <w:right w:w="100" w:type="dxa"/>
            </w:tcMar>
          </w:tcPr>
          <w:p>
            <w:r>
              <w:t>0.0027</w:t>
            </w:r>
          </w:p>
        </w:tc>
      </w:tr>
      <w:tr w:rsidR="006B2F3B" w14:paraId="5F4ECC69" w14:textId="77777777">
        <w:tblPrEx>
          <w:tblCellMar>
            <w:top w:w="0" w:type="dxa"/>
            <w:bottom w:w="0" w:type="dxa"/>
          </w:tblCellMar>
        </w:tblPrEx>
        <w:tc>
          <w:tcPr>
            <w:tcW w:w="2200" w:type="dxa"/>
            <w:tcMar>
              <w:top w:w="80" w:type="dxa"/>
              <w:left w:w="100" w:type="dxa"/>
              <w:bottom w:w="80" w:type="dxa"/>
              <w:right w:w="100" w:type="dxa"/>
            </w:tcMar>
          </w:tcPr>
          <w:p>
            <w:r>
              <w:t>Vega (per 1% σ)</w:t>
            </w:r>
          </w:p>
        </w:tc>
        <w:tc>
          <w:tcPr>
            <w:tcW w:w="2100" w:type="dxa"/>
            <w:tcMar>
              <w:top w:w="80" w:type="dxa"/>
              <w:left w:w="100" w:type="dxa"/>
              <w:bottom w:w="80" w:type="dxa"/>
              <w:right w:w="100" w:type="dxa"/>
            </w:tcMar>
          </w:tcPr>
          <w:p>
            <w:r>
              <w:t>2.387</w:t>
            </w:r>
          </w:p>
        </w:tc>
        <w:tc>
          <w:tcPr>
            <w:tcW w:w="2100" w:type="dxa"/>
            <w:tcMar>
              <w:top w:w="80" w:type="dxa"/>
              <w:left w:w="100" w:type="dxa"/>
              <w:bottom w:w="80" w:type="dxa"/>
              <w:right w:w="100" w:type="dxa"/>
            </w:tcMar>
          </w:tcPr>
          <w:p>
            <w:r>
              <w:t>2.387</w:t>
            </w:r>
          </w:p>
        </w:tc>
        <w:tc>
          <w:tcPr>
            <w:tcW w:w="2100" w:type="dxa"/>
            <w:tcMar>
              <w:top w:w="80" w:type="dxa"/>
              <w:left w:w="100" w:type="dxa"/>
              <w:bottom w:w="80" w:type="dxa"/>
              <w:right w:w="100" w:type="dxa"/>
            </w:tcMar>
          </w:tcPr>
          <w:p>
            <w:r>
              <w:t>2.384</w:t>
            </w:r>
          </w:p>
        </w:tc>
        <w:tc>
          <w:tcPr>
            <w:tcW w:w="2100" w:type="dxa"/>
            <w:tcMar>
              <w:top w:w="80" w:type="dxa"/>
              <w:left w:w="100" w:type="dxa"/>
              <w:bottom w:w="80" w:type="dxa"/>
              <w:right w:w="100" w:type="dxa"/>
            </w:tcMar>
          </w:tcPr>
          <w:p>
            <w:r>
              <w:t>2.384</w:t>
            </w:r>
          </w:p>
        </w:tc>
      </w:tr>
      <w:tr w:rsidR="006B2F3B" w14:paraId="06120440" w14:textId="77777777">
        <w:tblPrEx>
          <w:tblCellMar>
            <w:top w:w="0" w:type="dxa"/>
            <w:bottom w:w="0" w:type="dxa"/>
          </w:tblCellMar>
        </w:tblPrEx>
        <w:tc>
          <w:tcPr>
            <w:tcW w:w="2200" w:type="dxa"/>
            <w:shd w:val="clear" w:color="auto" w:fill="F2F6FB"/>
            <w:tcMar>
              <w:top w:w="80" w:type="dxa"/>
              <w:left w:w="100" w:type="dxa"/>
              <w:bottom w:w="80" w:type="dxa"/>
              <w:right w:w="100" w:type="dxa"/>
            </w:tcMar>
          </w:tcPr>
          <w:p>
            <w:r>
              <w:t>Theta (per day)</w:t>
            </w:r>
          </w:p>
        </w:tc>
        <w:tc>
          <w:tcPr>
            <w:tcW w:w="2100" w:type="dxa"/>
            <w:shd w:val="clear" w:color="auto" w:fill="F2F6FB"/>
            <w:tcMar>
              <w:top w:w="80" w:type="dxa"/>
              <w:left w:w="100" w:type="dxa"/>
              <w:bottom w:w="80" w:type="dxa"/>
              <w:right w:w="100" w:type="dxa"/>
            </w:tcMar>
          </w:tcPr>
          <w:p>
            <w:r>
              <w:t>-1.566</w:t>
            </w:r>
          </w:p>
        </w:tc>
        <w:tc>
          <w:tcPr>
            <w:tcW w:w="2100" w:type="dxa"/>
            <w:shd w:val="clear" w:color="auto" w:fill="F2F6FB"/>
            <w:tcMar>
              <w:top w:w="80" w:type="dxa"/>
              <w:left w:w="100" w:type="dxa"/>
              <w:bottom w:w="80" w:type="dxa"/>
              <w:right w:w="100" w:type="dxa"/>
            </w:tcMar>
          </w:tcPr>
          <w:p>
            <w:r>
              <w:t>-1.132</w:t>
            </w:r>
          </w:p>
        </w:tc>
        <w:tc>
          <w:tcPr>
            <w:tcW w:w="2100" w:type="dxa"/>
            <w:shd w:val="clear" w:color="auto" w:fill="F2F6FB"/>
            <w:tcMar>
              <w:top w:w="80" w:type="dxa"/>
              <w:left w:w="100" w:type="dxa"/>
              <w:bottom w:w="80" w:type="dxa"/>
              <w:right w:w="100" w:type="dxa"/>
            </w:tcMar>
          </w:tcPr>
          <w:p>
            <w:r>
              <w:t>-1.402</w:t>
            </w:r>
          </w:p>
        </w:tc>
        <w:tc>
          <w:tcPr>
            <w:tcW w:w="2100" w:type="dxa"/>
            <w:shd w:val="clear" w:color="auto" w:fill="F2F6FB"/>
            <w:tcMar>
              <w:top w:w="80" w:type="dxa"/>
              <w:left w:w="100" w:type="dxa"/>
              <w:bottom w:w="80" w:type="dxa"/>
              <w:right w:w="100" w:type="dxa"/>
            </w:tcMar>
          </w:tcPr>
          <w:p>
            <w:r>
              <w:t>-0.968</w:t>
            </w:r>
          </w:p>
        </w:tc>
      </w:tr>
      <w:tr w:rsidR="006B2F3B" w14:paraId="28F66B32" w14:textId="77777777">
        <w:tblPrEx>
          <w:tblCellMar>
            <w:top w:w="0" w:type="dxa"/>
            <w:bottom w:w="0" w:type="dxa"/>
          </w:tblCellMar>
        </w:tblPrEx>
        <w:tc>
          <w:tcPr>
            <w:tcW w:w="2200" w:type="dxa"/>
            <w:tcMar>
              <w:top w:w="80" w:type="dxa"/>
              <w:left w:w="100" w:type="dxa"/>
              <w:bottom w:w="80" w:type="dxa"/>
              <w:right w:w="100" w:type="dxa"/>
            </w:tcMar>
          </w:tcPr>
          <w:p>
            <w:r>
              <w:t>Rho (per 1% r)</w:t>
            </w:r>
          </w:p>
        </w:tc>
        <w:tc>
          <w:tcPr>
            <w:tcW w:w="2100" w:type="dxa"/>
            <w:tcMar>
              <w:top w:w="80" w:type="dxa"/>
              <w:left w:w="100" w:type="dxa"/>
              <w:bottom w:w="80" w:type="dxa"/>
              <w:right w:w="100" w:type="dxa"/>
            </w:tcMar>
          </w:tcPr>
          <w:p>
            <w:r>
              <w:t>0.816</w:t>
            </w:r>
          </w:p>
        </w:tc>
        <w:tc>
          <w:tcPr>
            <w:tcW w:w="2100" w:type="dxa"/>
            <w:tcMar>
              <w:top w:w="80" w:type="dxa"/>
              <w:left w:w="100" w:type="dxa"/>
              <w:bottom w:w="80" w:type="dxa"/>
              <w:right w:w="100" w:type="dxa"/>
            </w:tcMar>
          </w:tcPr>
          <w:p>
            <w:r>
              <w:t>-0.752</w:t>
            </w:r>
          </w:p>
        </w:tc>
        <w:tc>
          <w:tcPr>
            <w:tcW w:w="2100" w:type="dxa"/>
            <w:tcMar>
              <w:top w:w="80" w:type="dxa"/>
              <w:left w:w="100" w:type="dxa"/>
              <w:bottom w:w="80" w:type="dxa"/>
              <w:right w:w="100" w:type="dxa"/>
            </w:tcMar>
          </w:tcPr>
          <w:p>
            <w:r>
              <w:t>0.827</w:t>
            </w:r>
          </w:p>
        </w:tc>
        <w:tc>
          <w:tcPr>
            <w:tcW w:w="2100" w:type="dxa"/>
            <w:tcMar>
              <w:top w:w="80" w:type="dxa"/>
              <w:left w:w="100" w:type="dxa"/>
              <w:bottom w:w="80" w:type="dxa"/>
              <w:right w:w="100" w:type="dxa"/>
            </w:tcMar>
          </w:tcPr>
          <w:p>
            <w:r>
              <w:t>-0.741</w:t>
            </w:r>
          </w:p>
        </w:tc>
      </w:tr>
    </w:tbl>
    <w:p w14:paraId="107B17E9" w14:textId="77777777" w:rsidR="006B2F3B" w:rsidRDefault="006B2F3B">
      <w:pPr>
        <w:spacing w:before="200"/>
      </w:pPr>
      <w:r/>
    </w:p>
    <w:p w14:paraId="5D5108B4" w14:textId="0DB4B618" w:rsidR="006B2F3B" w:rsidRDefault="00000000">
      <w:pPr>
        <w:spacing w:after="160" w:line="276" w:lineRule="auto"/>
        <w:jc w:val="both"/>
      </w:pPr>
      <w:r>
        <w:t>The ATM call delta is close to 0.55 under both volatility inputs, as expected for a near-the-money short-dated European call. Gamma is higher at the lower solved IV because the option is closer to the peak of the gamma profile at this maturity. Vega is approximately ₹2.387 per 1 percentage-point volatility change at historical vol, and ₹2.384 at solved IV. Theta is negative for both calls and puts, while rho has the expected positive sign for calls and negative sign for puts.</w:t>
      </w:r>
    </w:p>
    <w:p w14:paraId="24CEA316" w14:textId="77777777" w:rsidR="006B2F3B" w:rsidRDefault="00000000">
      <w:pPr>
        <w:pStyle w:val="Heading1"/>
        <w:spacing w:before="240" w:after="100"/>
      </w:pPr>
      <w:r>
        <w:t>12. Dividend-Yield Sensitivity</w:t>
      </w:r>
    </w:p>
    <w:p w14:paraId="26534348" w14:textId="77777777" w:rsidR="006B2F3B" w:rsidRDefault="00000000">
      <w:pPr>
        <w:spacing w:after="160" w:line="276" w:lineRule="auto"/>
        <w:jc w:val="both"/>
      </w:pPr>
      <w:r>
        <w:t>This report’s headline numbers use q=0 (Section 3). Public dividend-yield aggregators for TCS disagree substantially — trailing-twelve-month figures found while preparing this section ranged from roughly 2.5% to 5.5% depending on methodology and date — so no single q was treated as authoritative here. The table below shows the mechanism’s effect at illustrative q values using the same S, K, r, σ, T as Section 6; it is not a claim about TCS’s actual current yield.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6B2F3B" w14:paraId="1D9DEAC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r>
              <w:t>q (illustrative)</w:t>
            </w:r>
          </w:p>
        </w:tc>
        <w:tc>
          <w:tcPr>
            <w:tcW w:w="3200" w:type="dxa"/>
            <w:shd w:val="clear" w:color="auto" w:fill="1F3864"/>
            <w:tcMar>
              <w:top w:w="80" w:type="dxa"/>
              <w:left w:w="100" w:type="dxa"/>
              <w:bottom w:w="80" w:type="dxa"/>
              <w:right w:w="100" w:type="dxa"/>
            </w:tcMar>
          </w:tcPr>
          <w:p>
            <w:r>
              <w:t>Call Price (₹)</w:t>
            </w:r>
          </w:p>
        </w:tc>
        <w:tc>
          <w:tcPr>
            <w:tcW w:w="3200" w:type="dxa"/>
            <w:shd w:val="clear" w:color="auto" w:fill="1F3864"/>
            <w:tcMar>
              <w:top w:w="80" w:type="dxa"/>
              <w:left w:w="100" w:type="dxa"/>
              <w:bottom w:w="80" w:type="dxa"/>
              <w:right w:w="100" w:type="dxa"/>
            </w:tcMar>
          </w:tcPr>
          <w:p>
            <w:r>
              <w:t>Δ vs q=0 (₹)</w:t>
            </w:r>
          </w:p>
        </w:tc>
      </w:tr>
      <w:tr w:rsidR="006B2F3B" w14:paraId="74B6B458" w14:textId="77777777">
        <w:tblPrEx>
          <w:tblCellMar>
            <w:top w:w="0" w:type="dxa"/>
            <w:bottom w:w="0" w:type="dxa"/>
          </w:tblCellMar>
        </w:tblPrEx>
        <w:tc>
          <w:tcPr>
            <w:tcW w:w="3200" w:type="dxa"/>
            <w:tcMar>
              <w:top w:w="80" w:type="dxa"/>
              <w:left w:w="100" w:type="dxa"/>
              <w:bottom w:w="80" w:type="dxa"/>
              <w:right w:w="100" w:type="dxa"/>
            </w:tcMar>
          </w:tcPr>
          <w:p>
            <w:r>
              <w:t>0.00% (base, used in headline results)</w:t>
            </w:r>
          </w:p>
        </w:tc>
        <w:tc>
          <w:tcPr>
            <w:tcW w:w="3200" w:type="dxa"/>
            <w:tcMar>
              <w:top w:w="80" w:type="dxa"/>
              <w:left w:w="100" w:type="dxa"/>
              <w:bottom w:w="80" w:type="dxa"/>
              <w:right w:w="100" w:type="dxa"/>
            </w:tcMar>
          </w:tcPr>
          <w:p>
            <w:r>
              <w:t>₹74.98</w:t>
            </w:r>
          </w:p>
        </w:tc>
        <w:tc>
          <w:tcPr>
            <w:tcW w:w="3200" w:type="dxa"/>
            <w:tcMar>
              <w:top w:w="80" w:type="dxa"/>
              <w:left w:w="100" w:type="dxa"/>
              <w:bottom w:w="80" w:type="dxa"/>
              <w:right w:w="100" w:type="dxa"/>
            </w:tcMar>
          </w:tcPr>
          <w:p>
            <w:r>
              <w:t>0.000</w:t>
            </w:r>
          </w:p>
        </w:tc>
      </w:tr>
      <w:tr w:rsidR="006B2F3B" w14:paraId="642229B1" w14:textId="77777777">
        <w:tblPrEx>
          <w:tblCellMar>
            <w:top w:w="0" w:type="dxa"/>
            <w:bottom w:w="0" w:type="dxa"/>
          </w:tblCellMar>
        </w:tblPrEx>
        <w:tc>
          <w:tcPr>
            <w:tcW w:w="3200" w:type="dxa"/>
            <w:shd w:val="clear" w:color="auto" w:fill="F2F6FB"/>
            <w:tcMar>
              <w:top w:w="80" w:type="dxa"/>
              <w:left w:w="100" w:type="dxa"/>
              <w:bottom w:w="80" w:type="dxa"/>
              <w:right w:w="100" w:type="dxa"/>
            </w:tcMar>
          </w:tcPr>
          <w:p>
            <w:r>
              <w:t>2.0%</w:t>
            </w:r>
          </w:p>
        </w:tc>
        <w:tc>
          <w:tcPr>
            <w:tcW w:w="3200" w:type="dxa"/>
            <w:shd w:val="clear" w:color="auto" w:fill="F2F6FB"/>
            <w:tcMar>
              <w:top w:w="80" w:type="dxa"/>
              <w:left w:w="100" w:type="dxa"/>
              <w:bottom w:w="80" w:type="dxa"/>
              <w:right w:w="100" w:type="dxa"/>
            </w:tcMar>
          </w:tcPr>
          <w:p>
            <w:r>
              <w:t>73.26</w:t>
            </w:r>
          </w:p>
        </w:tc>
        <w:tc>
          <w:tcPr>
            <w:tcW w:w="3200" w:type="dxa"/>
            <w:shd w:val="clear" w:color="auto" w:fill="F2F6FB"/>
            <w:tcMar>
              <w:top w:w="80" w:type="dxa"/>
              <w:left w:w="100" w:type="dxa"/>
              <w:bottom w:w="80" w:type="dxa"/>
              <w:right w:w="100" w:type="dxa"/>
            </w:tcMar>
          </w:tcPr>
          <w:p>
            <w:r>
              <w:t>-1.722</w:t>
            </w:r>
          </w:p>
        </w:tc>
      </w:tr>
      <w:tr w:rsidR="006B2F3B" w14:paraId="185C2ADB" w14:textId="77777777">
        <w:tblPrEx>
          <w:tblCellMar>
            <w:top w:w="0" w:type="dxa"/>
            <w:bottom w:w="0" w:type="dxa"/>
          </w:tblCellMar>
        </w:tblPrEx>
        <w:tc>
          <w:tcPr>
            <w:tcW w:w="3200" w:type="dxa"/>
            <w:tcMar>
              <w:top w:w="80" w:type="dxa"/>
              <w:left w:w="100" w:type="dxa"/>
              <w:bottom w:w="80" w:type="dxa"/>
              <w:right w:w="100" w:type="dxa"/>
            </w:tcMar>
          </w:tcPr>
          <w:p>
            <w:r>
              <w:t>3.5%</w:t>
            </w:r>
          </w:p>
        </w:tc>
        <w:tc>
          <w:tcPr>
            <w:tcW w:w="3200" w:type="dxa"/>
            <w:tcMar>
              <w:top w:w="80" w:type="dxa"/>
              <w:left w:w="100" w:type="dxa"/>
              <w:bottom w:w="80" w:type="dxa"/>
              <w:right w:w="100" w:type="dxa"/>
            </w:tcMar>
          </w:tcPr>
          <w:p>
            <w:r>
              <w:t>71.99</w:t>
            </w:r>
          </w:p>
        </w:tc>
        <w:tc>
          <w:tcPr>
            <w:tcW w:w="3200" w:type="dxa"/>
            <w:tcMar>
              <w:top w:w="80" w:type="dxa"/>
              <w:left w:w="100" w:type="dxa"/>
              <w:bottom w:w="80" w:type="dxa"/>
              <w:right w:w="100" w:type="dxa"/>
            </w:tcMar>
          </w:tcPr>
          <w:p>
            <w:r>
              <w:t>-2.997</w:t>
            </w:r>
          </w:p>
        </w:tc>
      </w:tr>
      <w:tr w:rsidR="006B2F3B" w14:paraId="2FEAA5FC" w14:textId="77777777">
        <w:tblPrEx>
          <w:tblCellMar>
            <w:top w:w="0" w:type="dxa"/>
            <w:bottom w:w="0" w:type="dxa"/>
          </w:tblCellMar>
        </w:tblPrEx>
        <w:tc>
          <w:tcPr>
            <w:tcW w:w="3200" w:type="dxa"/>
            <w:shd w:val="clear" w:color="auto" w:fill="F2F6FB"/>
            <w:tcMar>
              <w:top w:w="80" w:type="dxa"/>
              <w:left w:w="100" w:type="dxa"/>
              <w:bottom w:w="80" w:type="dxa"/>
              <w:right w:w="100" w:type="dxa"/>
            </w:tcMar>
          </w:tcPr>
          <w:p>
            <w:r>
              <w:t>5.0%</w:t>
            </w:r>
          </w:p>
        </w:tc>
        <w:tc>
          <w:tcPr>
            <w:tcW w:w="3200" w:type="dxa"/>
            <w:shd w:val="clear" w:color="auto" w:fill="F2F6FB"/>
            <w:tcMar>
              <w:top w:w="80" w:type="dxa"/>
              <w:left w:w="100" w:type="dxa"/>
              <w:bottom w:w="80" w:type="dxa"/>
              <w:right w:w="100" w:type="dxa"/>
            </w:tcMar>
          </w:tcPr>
          <w:p>
            <w:r>
              <w:t>70.73</w:t>
            </w:r>
          </w:p>
        </w:tc>
        <w:tc>
          <w:tcPr>
            <w:tcW w:w="3200" w:type="dxa"/>
            <w:shd w:val="clear" w:color="auto" w:fill="F2F6FB"/>
            <w:tcMar>
              <w:top w:w="80" w:type="dxa"/>
              <w:left w:w="100" w:type="dxa"/>
              <w:bottom w:w="80" w:type="dxa"/>
              <w:right w:w="100" w:type="dxa"/>
            </w:tcMar>
          </w:tcPr>
          <w:p>
            <w:r>
              <w:t>-4.257</w:t>
            </w:r>
          </w:p>
        </w:tc>
      </w:tr>
    </w:tbl>
    <w:p w14:paraId="57EE84B8" w14:textId="77777777" w:rsidR="006B2F3B" w:rsidRDefault="006B2F3B">
      <w:pPr>
        <w:spacing w:before="200"/>
      </w:pPr>
      <w:r/>
    </w:p>
    <w:p w14:paraId="74666E51" w14:textId="2B60C11B" w:rsidR="006B2F3B" w:rsidRDefault="00000000">
      <w:pPr>
        <w:spacing w:after="160" w:line="276" w:lineRule="auto"/>
        <w:jc w:val="both"/>
      </w:pPr>
      <w:r>
        <w:t>For this specific 25-day contract, q=0 is a defensible simplification regardless of which yield estimate is right: the available (and mutually inconsistent) TCS ex-dividend date estimates did not point to a record date falling inside the 4–29 Sep 2026 window, so no dividend payment appears to fall within the option’s life. The table above exists to show the mechanism works and to size the effect — roughly ₹1.72–₹4.26 across a plausible yield range — for contracts where that assumption doesn’t hold. A production version would need a real ex-dividend calendar rather than an assumption either way.</w:t>
      </w:r>
    </w:p>
    <w:p w14:paraId="6DC98BFC" w14:textId="77777777" w:rsidR="006B2F3B" w:rsidRDefault="00000000">
      <w:pPr>
        <w:pStyle w:val="Heading1"/>
        <w:pBdr>
          <w:bottom w:val="single" w:sz="6" w:space="4" w:color="2E74B5"/>
        </w:pBdr>
        <w:spacing w:before="360" w:after="160"/>
      </w:pPr>
      <w:r>
        <w:t>13. Conclusion &amp; Next Steps</w:t>
      </w:r>
    </w:p>
    <w:p w14:paraId="680C4572" w14:textId="77777777" w:rsidR="006B2F3B" w:rsidRDefault="00000000">
      <w:pPr>
        <w:spacing w:after="160" w:line="276" w:lineRule="auto"/>
        <w:jc w:val="both"/>
      </w:pPr>
      <w:r>
        <w:t>The CRR Binomial and Black-Scholes models were successfully implemented and cross-validated. Using the selected ATM strike of 2300, the binomial price converges to the Black-Scholes limit as n increases, and put-call parity holds to rounding precision. Historical volatility produces a higher option value than the observed market premium, while solving for volatility from the market premium gives 24.60%. The results demonstrate both the usefulness and the limitations of constant-volatility option pricing.</w:t>
      </w:r>
    </w:p>
    <w:p w14:paraId="39D10CD7" w14:textId="77777777" w:rsidR="006B2F3B" w:rsidRDefault="00000000">
      <w:pPr>
        <w:spacing w:after="160" w:line="276" w:lineRule="auto"/>
        <w:jc w:val="both"/>
      </w:pPr>
      <w:r>
        <w:t>This is the expected and instructive result: the volatility smile is the clearest empirical limitation of Black-Scholes, and it points directly to the next stages of this project:</w:t>
      </w:r>
    </w:p>
    <w:p w14:paraId="23E6798F" w14:textId="77777777" w:rsidR="006B2F3B" w:rsidRDefault="00000000">
      <w:pPr>
        <w:pStyle w:val="ListParagraph"/>
        <w:numPr>
          <w:ilvl w:val="0"/>
          <w:numId w:val="2"/>
        </w:numPr>
        <w:spacing w:after="70"/>
      </w:pPr>
      <w:r>
        <w:t>GARCH — models time-varying volatility and clustering (Stage 2)</w:t>
      </w:r>
    </w:p>
    <w:p w14:paraId="5BD23A8A" w14:textId="77777777" w:rsidR="006B2F3B" w:rsidRDefault="00000000">
      <w:pPr>
        <w:pStyle w:val="ListParagraph"/>
        <w:numPr>
          <w:ilvl w:val="0"/>
          <w:numId w:val="2"/>
        </w:numPr>
        <w:spacing w:after="70"/>
      </w:pPr>
      <w:r>
        <w:t>Stochastic-volatility / local-volatility extensions</w:t>
      </w:r>
    </w:p>
    <w:p w14:paraId="2B1CA6F0" w14:textId="77777777" w:rsidR="006B2F3B" w:rsidRDefault="00000000">
      <w:pPr>
        <w:pStyle w:val="ListParagraph"/>
        <w:numPr>
          <w:ilvl w:val="0"/>
          <w:numId w:val="2"/>
        </w:numPr>
        <w:spacing w:after="70"/>
      </w:pPr>
      <w:r>
        <w:t>Heston model — stochastic volatility, fitted directly to the observed volatility smile that Black-Scholes cannot reproduce (Stage 4)</w:t>
      </w:r>
    </w:p>
    <w:p w14:paraId="053D00C2" w14:textId="77777777" w:rsidR="006B2F3B" w:rsidRDefault="00000000">
      <w:pPr>
        <w:spacing w:after="160" w:line="276" w:lineRule="auto"/>
        <w:jc w:val="both"/>
      </w:pPr>
      <w:r>
        <w:t>Despite its limitations, the CRR framework remains an intuitive and computationally effective foundation for understanding derivative pricing and risk-neutral valuation, and provides the baseline against which these more advanced models will be benchmarked.</w:t>
      </w:r>
    </w:p>
    <w:sectPr w:rsidR="006B2F3B">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E06A" w14:textId="77777777" w:rsidR="001057BE" w:rsidRDefault="001057BE">
      <w:r>
        <w:separator/>
      </w:r>
    </w:p>
  </w:endnote>
  <w:endnote w:type="continuationSeparator" w:id="0">
    <w:p w14:paraId="30D94279" w14:textId="77777777" w:rsidR="001057BE" w:rsidRDefault="00105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CC4A" w14:textId="77777777" w:rsidR="006B2F3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0589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0589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7919" w14:textId="77777777" w:rsidR="001057BE" w:rsidRDefault="001057BE">
      <w:r>
        <w:separator/>
      </w:r>
    </w:p>
  </w:footnote>
  <w:footnote w:type="continuationSeparator" w:id="0">
    <w:p w14:paraId="491BFEB5" w14:textId="77777777" w:rsidR="001057BE" w:rsidRDefault="00105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333B" w14:textId="77777777" w:rsidR="006B2F3B" w:rsidRDefault="00000000">
    <w:pPr>
      <w:pBdr>
        <w:bottom w:val="single" w:sz="4" w:space="4" w:color="BFBFBF"/>
      </w:pBdr>
      <w:jc w:val="right"/>
    </w:pPr>
    <w:r>
      <w:t>TCS Options Pricing &amp; Volatility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F372A"/>
    <w:multiLevelType w:val="hybridMultilevel"/>
    <w:tmpl w:val="2B6E7A34"/>
    <w:lvl w:ilvl="0" w:tplc="B1AA7138">
      <w:start w:val="1"/>
      <w:numFmt w:val="bullet"/>
      <w:lvlText w:val="•"/>
      <w:lvlJc w:val="left"/>
      <w:pPr>
        <w:ind w:left="504" w:hanging="259"/>
      </w:pPr>
    </w:lvl>
    <w:lvl w:ilvl="1" w:tplc="D8141A44">
      <w:numFmt w:val="decimal"/>
      <w:lvlText w:val=""/>
      <w:lvlJc w:val="left"/>
    </w:lvl>
    <w:lvl w:ilvl="2" w:tplc="196C84BA">
      <w:numFmt w:val="decimal"/>
      <w:lvlText w:val=""/>
      <w:lvlJc w:val="left"/>
    </w:lvl>
    <w:lvl w:ilvl="3" w:tplc="76BED6CC">
      <w:numFmt w:val="decimal"/>
      <w:lvlText w:val=""/>
      <w:lvlJc w:val="left"/>
    </w:lvl>
    <w:lvl w:ilvl="4" w:tplc="12FA5852">
      <w:numFmt w:val="decimal"/>
      <w:lvlText w:val=""/>
      <w:lvlJc w:val="left"/>
    </w:lvl>
    <w:lvl w:ilvl="5" w:tplc="CE6E1114">
      <w:numFmt w:val="decimal"/>
      <w:lvlText w:val=""/>
      <w:lvlJc w:val="left"/>
    </w:lvl>
    <w:lvl w:ilvl="6" w:tplc="B3565C9A">
      <w:numFmt w:val="decimal"/>
      <w:lvlText w:val=""/>
      <w:lvlJc w:val="left"/>
    </w:lvl>
    <w:lvl w:ilvl="7" w:tplc="0F905062">
      <w:numFmt w:val="decimal"/>
      <w:lvlText w:val=""/>
      <w:lvlJc w:val="left"/>
    </w:lvl>
    <w:lvl w:ilvl="8" w:tplc="2440227E">
      <w:numFmt w:val="decimal"/>
      <w:lvlText w:val=""/>
      <w:lvlJc w:val="left"/>
    </w:lvl>
  </w:abstractNum>
  <w:abstractNum w:abstractNumId="1" w15:restartNumberingAfterBreak="0">
    <w:nsid w:val="65647760"/>
    <w:multiLevelType w:val="hybridMultilevel"/>
    <w:tmpl w:val="C4CC4C8C"/>
    <w:lvl w:ilvl="0" w:tplc="2FCC0002">
      <w:start w:val="1"/>
      <w:numFmt w:val="bullet"/>
      <w:lvlText w:val="●"/>
      <w:lvlJc w:val="left"/>
      <w:pPr>
        <w:ind w:left="720" w:hanging="360"/>
      </w:pPr>
    </w:lvl>
    <w:lvl w:ilvl="1" w:tplc="9D2ACA36">
      <w:start w:val="1"/>
      <w:numFmt w:val="bullet"/>
      <w:lvlText w:val="○"/>
      <w:lvlJc w:val="left"/>
      <w:pPr>
        <w:ind w:left="1440" w:hanging="360"/>
      </w:pPr>
    </w:lvl>
    <w:lvl w:ilvl="2" w:tplc="33C226CC">
      <w:start w:val="1"/>
      <w:numFmt w:val="bullet"/>
      <w:lvlText w:val="■"/>
      <w:lvlJc w:val="left"/>
      <w:pPr>
        <w:ind w:left="2160" w:hanging="360"/>
      </w:pPr>
    </w:lvl>
    <w:lvl w:ilvl="3" w:tplc="EAE4EEA2">
      <w:start w:val="1"/>
      <w:numFmt w:val="bullet"/>
      <w:lvlText w:val="●"/>
      <w:lvlJc w:val="left"/>
      <w:pPr>
        <w:ind w:left="2880" w:hanging="360"/>
      </w:pPr>
    </w:lvl>
    <w:lvl w:ilvl="4" w:tplc="720E2314">
      <w:start w:val="1"/>
      <w:numFmt w:val="bullet"/>
      <w:lvlText w:val="○"/>
      <w:lvlJc w:val="left"/>
      <w:pPr>
        <w:ind w:left="3600" w:hanging="360"/>
      </w:pPr>
    </w:lvl>
    <w:lvl w:ilvl="5" w:tplc="3A183EB4">
      <w:start w:val="1"/>
      <w:numFmt w:val="bullet"/>
      <w:lvlText w:val="■"/>
      <w:lvlJc w:val="left"/>
      <w:pPr>
        <w:ind w:left="4320" w:hanging="360"/>
      </w:pPr>
    </w:lvl>
    <w:lvl w:ilvl="6" w:tplc="EB12B0E0">
      <w:start w:val="1"/>
      <w:numFmt w:val="bullet"/>
      <w:lvlText w:val="●"/>
      <w:lvlJc w:val="left"/>
      <w:pPr>
        <w:ind w:left="5040" w:hanging="360"/>
      </w:pPr>
    </w:lvl>
    <w:lvl w:ilvl="7" w:tplc="16F6291E">
      <w:start w:val="1"/>
      <w:numFmt w:val="bullet"/>
      <w:lvlText w:val="●"/>
      <w:lvlJc w:val="left"/>
      <w:pPr>
        <w:ind w:left="5760" w:hanging="360"/>
      </w:pPr>
    </w:lvl>
    <w:lvl w:ilvl="8" w:tplc="BDC00C18">
      <w:start w:val="1"/>
      <w:numFmt w:val="bullet"/>
      <w:lvlText w:val="●"/>
      <w:lvlJc w:val="left"/>
      <w:pPr>
        <w:ind w:left="6480" w:hanging="360"/>
      </w:pPr>
    </w:lvl>
  </w:abstractNum>
  <w:num w:numId="1" w16cid:durableId="921796521">
    <w:abstractNumId w:val="1"/>
    <w:lvlOverride w:ilvl="0">
      <w:startOverride w:val="1"/>
    </w:lvlOverride>
  </w:num>
  <w:num w:numId="2" w16cid:durableId="128324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F3B"/>
    <w:rsid w:val="001057BE"/>
    <w:rsid w:val="006B2F3B"/>
    <w:rsid w:val="00905893"/>
    <w:rsid w:val="00CC6169"/>
    <w:rsid w:val="00E322F3"/>
    <w:rsid w:val="00F77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FBA2DD"/>
  <w15:docId w15:val="{EDFCC7B8-F4E3-1E47-96FD-3C0144B1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3334</Words>
  <Characters>19008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Siddarth Venkat</cp:lastModifiedBy>
  <cp:revision>3</cp:revision>
  <dcterms:created xsi:type="dcterms:W3CDTF">2026-08-14T09:15:00Z</dcterms:created>
  <dcterms:modified xsi:type="dcterms:W3CDTF">2026-08-18T07:10:00Z</dcterms:modified>
</cp:coreProperties>
</file>