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43027" w14:textId="77777777" w:rsidR="006B2F3B" w:rsidRDefault="00000000">
      <w:pPr>
        <w:spacing w:after="60"/>
        <w:jc w:val="center"/>
      </w:pPr>
      <w:r>
        <w:t>TCS Options Pricing &amp; Volatility Analysis</w:t>
      </w:r>
    </w:p>
    <w:p w14:paraId="781819B0" w14:textId="77777777" w:rsidR="006B2F3B" w:rsidRDefault="00000000">
      <w:pPr>
        <w:spacing w:after="40"/>
        <w:jc w:val="center"/>
      </w:pPr>
      <w:r>
        <w:t>Binomial (CRR) and Black-Scholes Models — Historical Volatility, Implied Volatility &amp; the Volatility Skew</w:t>
      </w:r>
    </w:p>
    <w:p w14:paraId="4F9E66C1" w14:textId="7C970CE3" w:rsidR="006B2F3B" w:rsidRDefault="00000000">
      <w:pPr>
        <w:spacing w:after="20"/>
        <w:jc w:val="center"/>
      </w:pPr>
      <w:r>
        <w:t>Underlying: Tata Consultancy Services (TCS.NS)  |  Data date: {{DATA_DATE}}|  Expiry: {{EXPIRY_DATE}}</w:t>
      </w:r>
    </w:p>
    <w:p w14:paraId="0AD8D0A9" w14:textId="77777777" w:rsidR="006B2F3B" w:rsidRDefault="00000000">
      <w:pPr>
        <w:spacing w:after="300"/>
        <w:jc w:val="center"/>
      </w:pPr>
      <w:r>
        <w:t>Updated Analysis Report</w:t>
      </w:r>
    </w:p>
    <w:p w14:paraId="3AC98F01" w14:textId="77777777" w:rsidR="006B2F3B" w:rsidRDefault="00000000">
      <w:pPr>
        <w:pStyle w:val="Heading2"/>
        <w:spacing w:before="240" w:after="100"/>
      </w:pPr>
      <w:r>
        <w:t>Executive Summary</w:t>
      </w:r>
    </w:p>
    <w:p w14:paraId="617FE843" w14:textId="1488ACD7" w:rsidR="006B2F3B" w:rsidRDefault="00000000">
      <w:pPr>
        <w:spacing w:after="160" w:line="276" w:lineRule="auto"/>
        <w:jc w:val="both"/>
      </w:pPr>
      <w:r>
        <w:t>This report implements and cross-validates the Cox-Ross-Rubinstein (CRR) Binomial and Black-Scholes option pricing models on a TCS at-the-money (ATM) European option using one year of historical price data and an NSE options-chain snapshot. The models are evaluated using one-year historical volatility ({{SIGMA}}), NSE-published ATM implied volatility ({{PUBLISHED_IV}}), and implied volatility solved from the observed market call price ({{SOLVED_IV}}). The observed ATM call premium is {{MARKET_LTP}}.</w:t>
      </w:r>
    </w:p>
    <w:p w14:paraId="02FE3673" w14:textId="759CA244" w:rsidR="006B2F3B" w:rsidRDefault="00000000">
      <w:pPr>
        <w:spacing w:after="160" w:line="276" w:lineRule="auto"/>
        <w:jc w:val="both"/>
      </w:pPr>
      <w:r>
        <w:t>Historical volatility produces a call value of {{CALL_HIST}}, while NSE-published IV produces {{CALL_PUBLISHED}}; the observed market premium is {{MARKET_LTP}}. Solving for volatility from the market premium gives {{SOLVED_IV}}, which reproduces the market price under Black-Scholes. The results illustrate the difference between backward-looking realised volatility, published option IV, and a model-implied volatility calibrated directly to the observed premium.</w:t>
      </w:r>
    </w:p>
    <w:p w14:paraId="6D7B80AA" w14:textId="77777777" w:rsidR="006B2F3B" w:rsidRDefault="00000000">
      <w:r/>
    </w:p>
    <w:p w14:paraId="3603DE04" w14:textId="77777777" w:rsidR="006B2F3B" w:rsidRDefault="00000000">
      <w:pPr>
        <w:pStyle w:val="Heading1"/>
        <w:pBdr>
          <w:bottom w:val="single" w:sz="6" w:space="4" w:color="2E74B5"/>
        </w:pBdr>
        <w:spacing w:before="360" w:after="160"/>
      </w:pPr>
      <w:r>
        <w:t>1. Objective</w:t>
      </w:r>
    </w:p>
    <w:p w14:paraId="4D690B35" w14:textId="77777777" w:rsidR="006B2F3B" w:rsidRDefault="00000000">
      <w:pPr>
        <w:spacing w:after="160" w:line="276" w:lineRule="auto"/>
        <w:jc w:val="both"/>
      </w:pPr>
      <w:r>
        <w:t>The objective of this project is to implement and analyse the CRR Binomial and Black-Scholes models for a European ATM option on TCS using real market data. The project prices calls and puts under historical and option-implied volatility inputs, validates put-call parity, studies binomial convergence, solves implied volatility from the market premium, and examines the volatility skew across strikes.</w:t>
      </w:r>
    </w:p>
    <w:p w14:paraId="51DFBC3B" w14:textId="77777777" w:rsidR="006B2F3B" w:rsidRDefault="00000000">
      <w:pPr>
        <w:pStyle w:val="ListParagraph"/>
        <w:numPr>
          <w:ilvl w:val="0"/>
          <w:numId w:val="2"/>
        </w:numPr>
        <w:spacing w:after="70"/>
      </w:pPr>
      <w:r>
        <w:t>Prices call and put options under historical volatility and under NSE-published implied volatility</w:t>
      </w:r>
    </w:p>
    <w:p w14:paraId="0F450452" w14:textId="77777777" w:rsidR="006B2F3B" w:rsidRDefault="00000000">
      <w:pPr>
        <w:pStyle w:val="ListParagraph"/>
        <w:numPr>
          <w:ilvl w:val="0"/>
          <w:numId w:val="2"/>
        </w:numPr>
        <w:spacing w:after="70"/>
      </w:pPr>
      <w:r>
        <w:t>Validates internal no-arbitrage consistency using put-call parity</w:t>
      </w:r>
    </w:p>
    <w:p w14:paraId="65C36BF1" w14:textId="77777777" w:rsidR="006B2F3B" w:rsidRDefault="00000000">
      <w:pPr>
        <w:pStyle w:val="ListParagraph"/>
        <w:numPr>
          <w:ilvl w:val="0"/>
          <w:numId w:val="2"/>
        </w:numPr>
        <w:spacing w:after="70"/>
      </w:pPr>
      <w:r>
        <w:t>Studies convergence of the discrete-time binomial framework to the Black-Scholes limit as the number of steps increases</w:t>
      </w:r>
    </w:p>
    <w:p w14:paraId="1510F88F" w14:textId="77777777" w:rsidR="006B2F3B" w:rsidRDefault="00000000">
      <w:pPr>
        <w:pStyle w:val="ListParagraph"/>
        <w:numPr>
          <w:ilvl w:val="0"/>
          <w:numId w:val="2"/>
        </w:numPr>
        <w:spacing w:after="70"/>
      </w:pPr>
      <w:r>
        <w:t>Compares model prices against the observed market premium to assess pricing accuracy</w:t>
      </w:r>
    </w:p>
    <w:p w14:paraId="471C5107" w14:textId="77777777" w:rsidR="006B2F3B" w:rsidRDefault="00000000">
      <w:pPr>
        <w:pStyle w:val="ListParagraph"/>
        <w:numPr>
          <w:ilvl w:val="0"/>
          <w:numId w:val="2"/>
        </w:numPr>
        <w:spacing w:after="70"/>
      </w:pPr>
      <w:r>
        <w:t>Examines the shape of the implied volatility curve (the "volatility smile/skew") across strikes, and what it reveals about the limits of constant-volatility models</w:t>
      </w:r>
    </w:p>
    <w:p w14:paraId="245D5389" w14:textId="77777777" w:rsidR="006B2F3B" w:rsidRDefault="00000000">
      <w:pPr>
        <w:pStyle w:val="Heading1"/>
        <w:pBdr>
          <w:bottom w:val="single" w:sz="6" w:space="4" w:color="2E74B5"/>
        </w:pBdr>
        <w:spacing w:before="360" w:after="160"/>
      </w:pPr>
      <w:r>
        <w:t>2. Theoretical Framework</w:t>
      </w:r>
    </w:p>
    <w:p w14:paraId="2B5A6804" w14:textId="77777777" w:rsidR="006B2F3B" w:rsidRDefault="00000000">
      <w:pPr>
        <w:pStyle w:val="Heading2"/>
        <w:spacing w:before="240" w:after="100"/>
      </w:pPr>
      <w:r>
        <w:t>2.1  Binomial (CRR) Model</w:t>
      </w:r>
    </w:p>
    <w:p w14:paraId="4655329A" w14:textId="77777777" w:rsidR="006B2F3B" w:rsidRDefault="00000000">
      <w:pPr>
        <w:spacing w:after="160" w:line="276" w:lineRule="auto"/>
        <w:jc w:val="both"/>
      </w:pPr>
      <w:r>
        <w:t>The CRR Binomial Model is a discrete-time option pricing framework in which the stock price evolves over a finite number of time steps. At each step, the stock price moves upward by a factor u or downward by a factor d, generating a recombining binomial tree of possible future prices:</w:t>
      </w:r>
    </w:p>
    <w:p w14:paraId="4D830CEB" w14:textId="77777777" w:rsidR="006B2F3B" w:rsidRDefault="00000000">
      <w:pPr>
        <w:spacing w:before="120" w:after="160"/>
        <w:jc w:val="center"/>
      </w:pPr>
      <w:r>
        <w:t>u = exp(σ · sqrt(Δt))          d = exp(−σ · sqrt(Δt)) = 1 / u</w:t>
      </w:r>
    </w:p>
    <w:p w14:paraId="37937E72" w14:textId="77777777" w:rsidR="006B2F3B" w:rsidRDefault="00000000">
      <w:pPr>
        <w:spacing w:after="160" w:line="276" w:lineRule="auto"/>
        <w:jc w:val="both"/>
      </w:pPr>
      <w:r>
        <w:t>The model uses risk-neutral valuation: the expected return of the stock is assumed to equal the risk-free rate under a transformed (risk-neutral) probability measure p, so that discounted expected payoffs — not real-world expected payoffs — give the fair price:</w:t>
      </w:r>
    </w:p>
    <w:p w14:paraId="3066A48C" w14:textId="77777777" w:rsidR="006B2F3B" w:rsidRDefault="00000000">
      <w:pPr>
        <w:spacing w:before="120" w:after="160"/>
        <w:jc w:val="center"/>
      </w:pPr>
      <w:r>
        <w:t>p = (exp(r · Δt) − d) / (u − d)</w:t>
      </w:r>
    </w:p>
    <w:p w14:paraId="6CC34D1F" w14:textId="77777777" w:rsidR="006B2F3B" w:rsidRDefault="00000000">
      <w:pPr>
        <w:spacing w:after="160" w:line="276" w:lineRule="auto"/>
        <w:jc w:val="both"/>
      </w:pPr>
      <w:r>
        <w:t>This relies on the replication principle — a portfolio of the underlying stock and a risk-free bond can replicate the option's payoff, and under no-arbitrage, the value of this portfolio must equal the option price. Valuation proceeds by backward induction: computing payoffs at maturity, then recursively discounting expected future values back to the present node.</w:t>
      </w:r>
    </w:p>
    <w:p w14:paraId="1B729C4B" w14:textId="77777777" w:rsidR="006B2F3B" w:rsidRDefault="00000000">
      <w:pPr>
        <w:pStyle w:val="Heading2"/>
        <w:spacing w:before="240" w:after="100"/>
      </w:pPr>
      <w:r>
        <w:t>2.2  Black-Scholes Model</w:t>
      </w:r>
    </w:p>
    <w:p w14:paraId="16E2B0A8" w14:textId="77777777" w:rsidR="006B2F3B" w:rsidRDefault="00000000">
      <w:pPr>
        <w:spacing w:after="160" w:line="276" w:lineRule="auto"/>
        <w:jc w:val="both"/>
      </w:pPr>
      <w:r>
        <w:t>Black-Scholes is the continuous-time limit of the binomial model, giving European option prices in closed form:</w:t>
      </w:r>
    </w:p>
    <w:p w14:paraId="119FD47B" w14:textId="77777777" w:rsidR="006B2F3B" w:rsidRDefault="00000000">
      <w:pPr>
        <w:spacing w:before="120" w:after="160"/>
        <w:jc w:val="center"/>
      </w:pPr>
      <w:r>
        <w:t>C = S · exp(−qT) · N(d1) − K · exp(−rT) · N(d2)          P = K · exp(−rT) · N(−d2) − S · exp(−qT) · N(−d1)</w:t>
      </w:r>
    </w:p>
    <w:p w14:paraId="3BA7360B" w14:textId="77777777" w:rsidR="006B2F3B" w:rsidRDefault="00000000">
      <w:pPr>
        <w:spacing w:before="120" w:after="160"/>
        <w:jc w:val="center"/>
      </w:pPr>
      <w:r>
        <w:t>d1 = [ln(S/K) + (r − q + σ²/2)·T] / (σ · sqrt(T))  (q = 0 unless --dividend-yield is passed)          d2 = d1 − σ · sqrt(T)</w:t>
      </w:r>
    </w:p>
    <w:p w14:paraId="18D12927" w14:textId="77777777" w:rsidR="006B2F3B" w:rsidRDefault="00000000">
      <w:pPr>
        <w:spacing w:after="160" w:line="276" w:lineRule="auto"/>
        <w:jc w:val="both"/>
      </w:pPr>
      <w:r>
        <w:t>N(d2) is the risk-neutral probability the option expires in the money, and N(d1) is the option's delta — the number of shares held in the replicating portfolio. As the number of binomial steps n → ∞, the discrete random walk converges to Geometric Brownian Motion via the Central Limit Theorem, so the binomial price converges to the Black-Scholes price (Section 6).</w:t>
      </w:r>
    </w:p>
    <w:p w14:paraId="2B2478E3" w14:textId="77777777" w:rsidR="006B2F3B" w:rsidRDefault="00000000">
      <w:pPr>
        <w:pStyle w:val="Heading1"/>
        <w:pBdr>
          <w:bottom w:val="single" w:sz="6" w:space="4" w:color="2E74B5"/>
        </w:pBdr>
        <w:spacing w:before="360" w:after="160"/>
      </w:pPr>
      <w:r>
        <w:t>3. Assumptions</w:t>
      </w:r>
    </w:p>
    <w:p w14:paraId="313E6D63" w14:textId="77777777" w:rsidR="006B2F3B" w:rsidRDefault="00000000">
      <w:pPr>
        <w:pStyle w:val="ListParagraph"/>
        <w:numPr>
          <w:ilvl w:val="0"/>
          <w:numId w:val="2"/>
        </w:numPr>
        <w:spacing w:after="70"/>
      </w:pPr>
      <w:r>
        <w:t>No arbitrage opportunities exist</w:t>
      </w:r>
    </w:p>
    <w:p w14:paraId="42F74F66" w14:textId="77777777" w:rsidR="006B2F3B" w:rsidRDefault="00000000">
      <w:pPr>
        <w:pStyle w:val="ListParagraph"/>
        <w:numPr>
          <w:ilvl w:val="0"/>
          <w:numId w:val="2"/>
        </w:numPr>
        <w:spacing w:after="70"/>
      </w:pPr>
      <w:r>
        <w:t>Constant risk-free rate and volatility over the option's life</w:t>
      </w:r>
    </w:p>
    <w:p w14:paraId="24ADCD21" w14:textId="77777777" w:rsidR="006B2F3B" w:rsidRDefault="00000000">
      <w:pPr>
        <w:pStyle w:val="ListParagraph"/>
        <w:numPr>
          <w:ilvl w:val="0"/>
          <w:numId w:val="2"/>
        </w:numPr>
        <w:spacing w:after="70"/>
      </w:pPr>
      <w:r>
        <w:t>The underlying stock pays no dividends during the option's life</w:t>
      </w:r>
    </w:p>
    <w:p w14:paraId="3AA332FF" w14:textId="77777777" w:rsidR="006B2F3B" w:rsidRDefault="00000000">
      <w:pPr>
        <w:pStyle w:val="ListParagraph"/>
        <w:numPr>
          <w:ilvl w:val="0"/>
          <w:numId w:val="2"/>
        </w:numPr>
        <w:spacing w:after="70"/>
      </w:pPr>
      <w:r>
        <w:t>At each binomial step, the stock price can move only upward or downward</w:t>
      </w:r>
    </w:p>
    <w:p w14:paraId="21E82978" w14:textId="77777777" w:rsidR="006B2F3B" w:rsidRDefault="00000000">
      <w:pPr>
        <w:pStyle w:val="ListParagraph"/>
        <w:numPr>
          <w:ilvl w:val="0"/>
          <w:numId w:val="2"/>
        </w:numPr>
        <w:spacing w:after="70"/>
      </w:pPr>
      <w:r>
        <w:t>No transaction costs or taxes</w:t>
      </w:r>
    </w:p>
    <w:p w14:paraId="628BA959" w14:textId="77777777" w:rsidR="006B2F3B" w:rsidRDefault="00000000">
      <w:pPr>
        <w:pStyle w:val="ListParagraph"/>
        <w:numPr>
          <w:ilvl w:val="0"/>
          <w:numId w:val="2"/>
        </w:numPr>
        <w:spacing w:after="70"/>
      </w:pPr>
      <w:r>
        <w:t>Stock prices follow Geometric Brownian Motion (GBM), implying log-normal price dynamics</w:t>
      </w:r>
    </w:p>
    <w:p w14:paraId="22ECA37C" w14:textId="77777777" w:rsidR="006B2F3B" w:rsidRDefault="00000000">
      <w:pPr>
        <w:pStyle w:val="ListParagraph"/>
        <w:numPr>
          <w:ilvl w:val="0"/>
          <w:numId w:val="2"/>
        </w:numPr>
        <w:spacing w:after="70"/>
      </w:pPr>
      <w:r>
        <w:t>Increasing the number of binomial time steps improves approximation accuracy toward the continuous-time limit</w:t>
      </w:r>
    </w:p>
    <w:p w14:paraId="6B4891F4" w14:textId="77777777" w:rsidR="006B2F3B" w:rsidRDefault="00000000">
      <w:pPr>
        <w:pStyle w:val="Heading1"/>
        <w:pBdr>
          <w:bottom w:val="single" w:sz="6" w:space="4" w:color="2E74B5"/>
        </w:pBdr>
        <w:spacing w:before="360" w:after="160"/>
      </w:pPr>
      <w:r>
        <w:t>4. Data &amp; Model Inputs</w:t>
      </w:r>
    </w:p>
    <w:p w14:paraId="5A142989" w14:textId="23470FF6" w:rsidR="006B2F3B" w:rsidRDefault="00000000">
      <w:pPr>
        <w:spacing w:after="160" w:line="276" w:lineRule="auto"/>
        <w:jc w:val="both"/>
      </w:pPr>
      <w:r>
        <w:t>Historical prices were sourced from one year of NSE end-of-day data for TCS ({{TRADING_DAYS}}, {{DATA_START}} to {{DATA_DATE}}); the live options chain was sourced from the NSE options chain snapshot for the {{EXPIRY_DATE}}.</w:t>
      </w:r>
    </w:p>
    <w:tbl>
      <w:tblPr>
        <w:tblW w:w="10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600"/>
        <w:gridCol w:w="2600"/>
      </w:tblGrid>
      <w:tr w:rsidR="006B2F3B" w14:paraId="3278B7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Parameter</w:t>
            </w:r>
          </w:p>
        </w:tc>
        <w:tc>
          <w:tcPr>
            <w:tcW w:w="5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Description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Value</w:t>
            </w:r>
          </w:p>
        </w:tc>
      </w:tr>
      <w:tr w:rsidR="006B2F3B" w14:paraId="06B4A6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S</w:t>
            </w:r>
          </w:p>
        </w:tc>
        <w:tc>
          <w:tcPr>
            <w:tcW w:w="5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Current stock price ({{DATA_DATE}} close)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{{S}}</w:t>
            </w:r>
          </w:p>
        </w:tc>
      </w:tr>
      <w:tr w:rsidR="006B2F3B" w14:paraId="460657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K</w:t>
            </w:r>
          </w:p>
        </w:tc>
        <w:tc>
          <w:tcPr>
            <w:tcW w:w="5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Selected ATM strike</w:t>
            </w:r>
          </w:p>
        </w:tc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{{ATM_STRIKE}}</w:t>
            </w:r>
          </w:p>
        </w:tc>
      </w:tr>
      <w:tr w:rsidR="006B2F3B" w14:paraId="38F636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r</w:t>
            </w:r>
          </w:p>
        </w:tc>
        <w:tc>
          <w:tcPr>
            <w:tcW w:w="5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Risk-free rate (10Y G-sec)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{{R_PCT}}</w:t>
            </w:r>
          </w:p>
        </w:tc>
      </w:tr>
      <w:tr w:rsidR="006B2F3B" w14:paraId="50C537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σ</w:t>
            </w:r>
          </w:p>
        </w:tc>
        <w:tc>
          <w:tcPr>
            <w:tcW w:w="5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Historical annualised volatility (1Y)</w:t>
            </w:r>
          </w:p>
        </w:tc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{{SIGMA}}</w:t>
            </w:r>
          </w:p>
        </w:tc>
      </w:tr>
      <w:tr w:rsidR="006B2F3B" w14:paraId="3E3C15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IV (NSE)</w:t>
            </w:r>
          </w:p>
        </w:tc>
        <w:tc>
          <w:tcPr>
            <w:tcW w:w="5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NSE-published ATM implied volatility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{{PUBLISHED_IV}}</w:t>
            </w:r>
          </w:p>
        </w:tc>
      </w:tr>
      <w:tr w:rsidR="006B2F3B" w14:paraId="146913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IV (solved)</w:t>
            </w:r>
          </w:p>
        </w:tc>
        <w:tc>
          <w:tcPr>
            <w:tcW w:w="5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IV solved from market call LTP</w:t>
            </w:r>
          </w:p>
        </w:tc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{{SOLVED_IV}}</w:t>
            </w:r>
          </w:p>
        </w:tc>
      </w:tr>
      <w:tr w:rsidR="006B2F3B" w14:paraId="0ED796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T</w:t>
            </w:r>
          </w:p>
        </w:tc>
        <w:tc>
          <w:tcPr>
            <w:tcW w:w="5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Time to expiry ({{EXPIRY_DATE}} expiry)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{{T_DAYS}}</w:t>
            </w:r>
          </w:p>
        </w:tc>
      </w:tr>
      <w:tr>
        <w:tc>
          <w:tcPr>
            <w:tcW w:type="dxa" w:w="2400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n</w:t>
            </w:r>
          </w:p>
        </w:tc>
        <w:tc>
          <w:tcPr>
            <w:tcW w:type="dxa" w:w="5600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Binomial steps</w:t>
            </w:r>
          </w:p>
        </w:tc>
        <w:tc>
          <w:tcPr>
            <w:tcW w:type="dxa" w:w="2600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{{N_STEPS}}</w:t>
            </w:r>
          </w:p>
        </w:tc>
      </w:tr>
    </w:tbl>
    <w:p w14:paraId="7FC1D8F7" w14:textId="77777777" w:rsidR="006B2F3B" w:rsidRDefault="006B2F3B">
      <w:pPr>
        <w:spacing w:before="200"/>
      </w:pPr>
      <w:r/>
    </w:p>
    <w:p w14:paraId="4AAD8466" w14:textId="77777777" w:rsidR="006B2F3B" w:rsidRDefault="00000000">
      <w:pPr>
        <w:spacing w:after="160" w:line="276" w:lineRule="auto"/>
        <w:jc w:val="both"/>
      </w:pPr>
      <w:r>
        <w:t>Daily logarithmic returns and annualised historical volatility were computed as:</w:t>
      </w:r>
    </w:p>
    <w:p w14:paraId="7DBD22E1" w14:textId="77777777" w:rsidR="006B2F3B" w:rsidRDefault="00000000">
      <w:pPr>
        <w:spacing w:before="120" w:after="160"/>
        <w:jc w:val="center"/>
      </w:pPr>
      <w:r>
        <w:t>rt = ln(Pt / Pt−1)          σ = std(rt) · sqrt(252)</w:t>
      </w:r>
    </w:p>
    <w:p w14:paraId="5BF00C2B" w14:textId="33C7EBFC" w:rsidR="006B2F3B" w:rsidRDefault="00000000">
      <w:pPr>
        <w:spacing w:after="160" w:line="276" w:lineRule="auto"/>
        <w:jc w:val="both"/>
      </w:pPr>
      <w:r>
        <w:t>Mean historical return (annualised) = {{MEAN_RETURN}}. This figure is descriptive only and is not used in pricing — risk-neutral valuation replaces the real-world expected return with the risk-free rate, so the model is indifferent to whether the stock's realised drift was positive or negative.</w:t>
      </w:r>
    </w:p>
    <w:p w14:paraId="230FC62F" w14:textId="77777777" w:rsidR="006B2F3B" w:rsidRDefault="00000000">
      <w:pPr>
        <w:pStyle w:val="Heading1"/>
        <w:pBdr>
          <w:bottom w:val="single" w:sz="6" w:space="4" w:color="2E74B5"/>
        </w:pBdr>
        <w:spacing w:before="360" w:after="160"/>
      </w:pPr>
      <w:r>
        <w:t>5. Historical &amp; Rolling Volatility</w:t>
      </w:r>
    </w:p>
    <w:p w14:paraId="2F32B684" w14:textId="77777777" w:rsidR="006B2F3B" w:rsidRDefault="00000000">
      <w:pPr>
        <w:spacing w:after="160" w:line="276" w:lineRule="auto"/>
        <w:jc w:val="both"/>
      </w:pPr>
      <w:r>
        <w:t>Beyond the single one-year figure, volatility was also measured over shorter rolling windows to check whether recent conditions differ from the full-year average:</w:t>
      </w:r>
    </w:p>
    <w:tbl>
      <w:tblPr>
        <w:tblW w:w="10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00"/>
        <w:gridCol w:w="4300"/>
      </w:tblGrid>
      <w:tr w:rsidR="006B2F3B" w14:paraId="63D56D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Measure</w:t>
            </w:r>
          </w:p>
        </w:tc>
        <w:tc>
          <w:tcPr>
            <w:tcW w:w="4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Value</w:t>
            </w:r>
          </w:p>
        </w:tc>
      </w:tr>
      <w:tr w:rsidR="006B2F3B" w14:paraId="6701468E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30-day rolling volatility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{{ROLLING_30}}</w:t>
            </w:r>
          </w:p>
        </w:tc>
      </w:tr>
      <w:tr w:rsidR="006B2F3B" w14:paraId="2A5088C1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90-day rolling volatility</w:t>
            </w:r>
          </w:p>
        </w:tc>
        <w:tc>
          <w:tcPr>
            <w:tcW w:w="43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{{ROLLING_90}}</w:t>
            </w:r>
          </w:p>
        </w:tc>
      </w:tr>
      <w:tr w:rsidR="006B2F3B" w14:paraId="1E9007E2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1-year historical volatility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{{SIGMA}}</w:t>
            </w:r>
          </w:p>
        </w:tc>
      </w:tr>
      <w:tr w:rsidR="006B2F3B" w14:paraId="76C577AB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ATM IV (NSE)</w:t>
            </w:r>
          </w:p>
        </w:tc>
        <w:tc>
          <w:tcPr>
            <w:tcW w:w="43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{{PUBLISHED_IV}}</w:t>
            </w:r>
          </w:p>
        </w:tc>
      </w:tr>
      <w:tr>
        <w:tc>
          <w:tcPr>
            <w:tcW w:type="dxa" w:w="6300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Solved IV from market LTP</w:t>
            </w:r>
          </w:p>
        </w:tc>
        <w:tc>
          <w:tcPr>
            <w:tcW w:type="dxa" w:w="4300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{{SOLVED_IV}}</w:t>
            </w:r>
          </w:p>
        </w:tc>
      </w:tr>
    </w:tbl>
    <w:p w14:paraId="108CCAFE" w14:textId="77777777" w:rsidR="006B2F3B" w:rsidRDefault="006B2F3B">
      <w:pPr>
        <w:spacing w:before="200"/>
      </w:pPr>
      <w:r/>
    </w:p>
    <w:p w14:paraId="04542D19" w14:textId="52E7FFFA" w:rsidR="006B2F3B" w:rsidRDefault="00000000">
      <w:pPr>
        <w:spacing w:after="160" w:line="276" w:lineRule="auto"/>
        <w:jc w:val="both"/>
      </w:pPr>
      <w:r>
        <w:t>The 30-day and 90-day rolling volatilities ({{ROLLING_30}} and {{ROLLING_90}}) are above the one-year historical volatility ({{SIGMA}}), while the NSE-published ATM IV is {{PUBLISHED_IV}} and the market-price-implied volatility solved by the model is {{SOLVED_IV}}. Historical volatility is backward-looking, whereas implied volatility is forward-looking and specific to the option's remaining life.</w:t>
      </w:r>
    </w:p>
    <w:p w14:paraId="2C52BBC0" w14:textId="77777777" w:rsidR="006B2F3B" w:rsidRDefault="00000000">
      <w:pPr>
        <w:pStyle w:val="Heading1"/>
        <w:pBdr>
          <w:bottom w:val="single" w:sz="6" w:space="4" w:color="2E74B5"/>
        </w:pBdr>
        <w:spacing w:before="360" w:after="160"/>
      </w:pPr>
      <w:r>
        <w:t>6. Model Pricing Results</w:t>
      </w:r>
    </w:p>
    <w:p w14:paraId="7CF979E8" w14:textId="77777777" w:rsidR="006B2F3B" w:rsidRDefault="00000000">
      <w:pPr>
        <w:spacing w:after="160" w:line="276" w:lineRule="auto"/>
        <w:jc w:val="both"/>
      </w:pPr>
      <w:r>
        <w:t>The binomial and Black-Scholes models were evaluated under three volatility inputs: one-year historical volatility, NSE-published ATM IV, and IV solved from the observed market premium.</w:t>
      </w:r>
    </w:p>
    <w:tbl>
      <w:tblPr>
        <w:tblW w:w="10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2900"/>
        <w:gridCol w:w="2900"/>
      </w:tblGrid>
      <w:tr w:rsidR="006B2F3B" w14:paraId="316847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Model</w:t>
            </w:r>
          </w:p>
        </w:tc>
        <w:tc>
          <w:tcPr>
            <w:tcW w:w="2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Call Price (₹)</w:t>
            </w:r>
          </w:p>
        </w:tc>
        <w:tc>
          <w:tcPr>
            <w:tcW w:w="2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Put Price (₹)</w:t>
            </w:r>
          </w:p>
        </w:tc>
      </w:tr>
      <w:tr w:rsidR="006B2F3B" w14:paraId="2EA4193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Binomial — historical vol ({{SIGMA}})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{{CALL_HIST}}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{{PUT_HIST}}</w:t>
            </w:r>
          </w:p>
        </w:tc>
      </w:tr>
      <w:tr w:rsidR="006B2F3B" w14:paraId="68669D1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Binomial — NSE-published IV ({{PUBLISHED_IV}})</w:t>
            </w:r>
          </w:p>
        </w:tc>
        <w:tc>
          <w:tcPr>
            <w:tcW w:w="2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{{CALL_PUBLISHED}}</w:t>
            </w:r>
          </w:p>
        </w:tc>
        <w:tc>
          <w:tcPr>
            <w:tcW w:w="2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{{PUT_PUBLISHED}}</w:t>
            </w:r>
          </w:p>
        </w:tc>
      </w:tr>
      <w:tr w:rsidR="006B2F3B" w14:paraId="24251E1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Binomial — solved IV ({{SOLVED_IV}})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{{CALL_SOLVED}}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{{PUT_SOLVED}}</w:t>
            </w:r>
          </w:p>
        </w:tc>
      </w:tr>
      <w:tr w:rsidR="006B2F3B" w14:paraId="321FDF5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Black-Scholes — historical vol ({{SIGMA}})</w:t>
            </w:r>
          </w:p>
        </w:tc>
        <w:tc>
          <w:tcPr>
            <w:tcW w:w="2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{{BS_CALL_HIST}}</w:t>
            </w:r>
          </w:p>
        </w:tc>
        <w:tc>
          <w:tcPr>
            <w:tcW w:w="2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{{BS_PUT_HIST}}</w:t>
            </w:r>
          </w:p>
        </w:tc>
      </w:tr>
      <w:tr w:rsidR="006B2F3B" w14:paraId="7020966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Black-Scholes — NSE-published IV ({{PUBLISHED_IV}})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{{BS_CALL_PUBLISHED}}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{{BS_PUT_PUBLISHED}}</w:t>
            </w:r>
          </w:p>
        </w:tc>
      </w:tr>
      <w:tr>
        <w:tc>
          <w:tcPr>
            <w:tcW w:type="dxa" w:w="4800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Black-Scholes — solved IV ({{SOLVED_IV}})</w:t>
            </w:r>
          </w:p>
        </w:tc>
        <w:tc>
          <w:tcPr>
            <w:tcW w:type="dxa" w:w="2900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{{BS_CALL_SOLVED}}</w:t>
            </w:r>
          </w:p>
        </w:tc>
        <w:tc>
          <w:tcPr>
            <w:tcW w:type="dxa" w:w="2900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{{BS_PUT_SOLVED}}</w:t>
            </w:r>
          </w:p>
        </w:tc>
      </w:tr>
      <w:tr>
        <w:tc>
          <w:tcPr>
            <w:tcW w:type="dxa" w:w="4800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Market LTP — ATM strike {{ATM_STRIKE}} (call)</w:t>
            </w:r>
          </w:p>
        </w:tc>
        <w:tc>
          <w:tcPr>
            <w:tcW w:type="dxa" w:w="2900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{{MARKET_LTP}}</w:t>
            </w:r>
          </w:p>
        </w:tc>
        <w:tc>
          <w:tcPr>
            <w:tcW w:type="dxa" w:w="2900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—</w:t>
            </w:r>
          </w:p>
        </w:tc>
      </w:tr>
    </w:tbl>
    <w:p w14:paraId="2D367643" w14:textId="77777777" w:rsidR="006B2F3B" w:rsidRDefault="006B2F3B">
      <w:pPr>
        <w:spacing w:before="200"/>
      </w:pPr>
      <w:r/>
    </w:p>
    <w:p w14:paraId="1D63AC74" w14:textId="00871009" w:rsidR="006B2F3B" w:rsidRDefault="00000000">
      <w:pPr>
        <w:spacing w:after="160" w:line="276" w:lineRule="auto"/>
        <w:jc w:val="both"/>
      </w:pPr>
      <w:r>
        <w:t>The market call premium of {{MARKET_LTP}} lies between the historical-volatility model price and the NSE-published-IV model price. The historical-volatility binomial price is {{CALL_HIST}}, while the published-IV binomial price is {{CALL_PUBLISHED}}. Solving for IV from the market premium gives {{SOLVED_IV}}; the Black-Scholes price at this solved IV is {{MARKET_LTP}}, matching the market premium by construction.</w:t>
      </w:r>
    </w:p>
    <w:p w14:paraId="13DB95E4" w14:textId="77777777" w:rsidR="006B2F3B" w:rsidRDefault="00000000">
      <w:pPr>
        <w:pStyle w:val="Heading1"/>
        <w:pBdr>
          <w:bottom w:val="single" w:sz="6" w:space="4" w:color="2E74B5"/>
        </w:pBdr>
        <w:spacing w:before="360" w:after="160"/>
      </w:pPr>
      <w:r>
        <w:t>7. Convergence Analysis</w:t>
      </w:r>
    </w:p>
    <w:p w14:paraId="6A1204B2" w14:textId="77777777" w:rsidR="006B2F3B" w:rsidRDefault="00000000">
      <w:pPr>
        <w:spacing w:after="160" w:line="276" w:lineRule="auto"/>
        <w:jc w:val="both"/>
      </w:pPr>
      <w:r>
        <w:t>As the number of binomial time steps n increases, the CRR lattice converges toward the continuous-time Black-Scholes limit. The convergence is assessed using the historical volatility input and the selected ATM strike of {{ATM_STRIKE}}.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6B2F3B" w14:paraId="7ABCB6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n</w:t>
            </w:r>
          </w:p>
        </w:tc>
        <w:tc>
          <w:tcPr>
            <w:tcW w:w="5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Call Price (₹)</w:t>
            </w:r>
          </w:p>
        </w:tc>
      </w:tr>
      <w:tr w:rsidR="006B2F3B" w14:paraId="106341D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3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{{CONV_N3}}</w:t>
            </w:r>
          </w:p>
        </w:tc>
      </w:tr>
      <w:tr w:rsidR="006B2F3B" w14:paraId="15CAA75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5</w:t>
            </w:r>
          </w:p>
        </w:tc>
        <w:tc>
          <w:tcPr>
            <w:tcW w:w="5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{{CONV_N5}}</w:t>
            </w:r>
          </w:p>
        </w:tc>
      </w:tr>
      <w:tr w:rsidR="006B2F3B" w14:paraId="0D6CAF7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10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{{CONV_N10}}</w:t>
            </w:r>
          </w:p>
        </w:tc>
      </w:tr>
      <w:tr w:rsidR="006B2F3B" w14:paraId="3277B6E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25</w:t>
            </w:r>
          </w:p>
        </w:tc>
        <w:tc>
          <w:tcPr>
            <w:tcW w:w="5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{{CONV_N25}}</w:t>
            </w:r>
          </w:p>
        </w:tc>
      </w:tr>
      <w:tr w:rsidR="006B2F3B" w14:paraId="0A21568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50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{{CONV_N50}}</w:t>
            </w:r>
          </w:p>
        </w:tc>
      </w:tr>
      <w:tr w:rsidR="006B2F3B" w14:paraId="25F478C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100</w:t>
            </w:r>
          </w:p>
        </w:tc>
        <w:tc>
          <w:tcPr>
            <w:tcW w:w="5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{{CONV_N100}}</w:t>
            </w:r>
          </w:p>
        </w:tc>
      </w:tr>
      <w:tr w:rsidR="006B2F3B" w14:paraId="2A4AC37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200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{{CONV_N200}}</w:t>
            </w:r>
          </w:p>
        </w:tc>
      </w:tr>
      <w:tr w:rsidR="006B2F3B" w14:paraId="3750AAE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500</w:t>
            </w:r>
          </w:p>
        </w:tc>
        <w:tc>
          <w:tcPr>
            <w:tcW w:w="5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{{CONV_N500}}</w:t>
            </w:r>
          </w:p>
        </w:tc>
      </w:tr>
      <w:tr w:rsidR="006B2F3B" w14:paraId="67330B3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Black-Scholes limit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{{BS_CALL_HIST}}</w:t>
            </w:r>
          </w:p>
        </w:tc>
      </w:tr>
    </w:tbl>
    <w:p w14:paraId="2C429D04" w14:textId="77777777" w:rsidR="006B2F3B" w:rsidRDefault="006B2F3B">
      <w:pPr>
        <w:spacing w:before="200"/>
      </w:pPr>
      <w:r/>
    </w:p>
    <w:p w14:paraId="128E8057" w14:textId="77777777" w:rsidR="006B2F3B" w:rsidRDefault="00000000">
      <w:pPr>
        <w:spacing w:after="160" w:line="276" w:lineRule="auto"/>
        <w:jc w:val="both"/>
      </w:pPr>
      <w:r>
        <w:t>The price oscillates for small n before stabilising, a known odd/even step artefact of the binomial lattice. By n = 500, the binomial price is {{CONV_N500}}, only ₹{{CONV_DIFF}} away from the Black-Scholes historical-volatility price of {{BS_CALL_HIST}}. This confirms convergence of the discrete-time lattice toward the continuous-time limit. n = {{N_STEPS}} is used for the headline binomial results as a practical balance between accuracy and computation.</w:t>
      </w:r>
    </w:p>
    <w:p w14:paraId="7FDE53EE" w14:textId="77777777" w:rsidR="006B2F3B" w:rsidRDefault="00000000">
      <w:pPr>
        <w:pStyle w:val="Heading1"/>
        <w:pBdr>
          <w:bottom w:val="single" w:sz="6" w:space="4" w:color="2E74B5"/>
        </w:pBdr>
        <w:spacing w:before="360" w:after="160"/>
      </w:pPr>
      <w:r>
        <w:t>8. Put-Call Parity Validation</w:t>
      </w:r>
    </w:p>
    <w:p w14:paraId="0F46D8DC" w14:textId="77777777" w:rsidR="006B2F3B" w:rsidRDefault="00000000">
      <w:pPr>
        <w:spacing w:after="160" w:line="276" w:lineRule="auto"/>
        <w:jc w:val="both"/>
      </w:pPr>
      <w:r>
        <w:t>European options must satisfy the no-arbitrage relationship:</w:t>
      </w:r>
    </w:p>
    <w:p w14:paraId="2BFA2C17" w14:textId="77777777" w:rsidR="006B2F3B" w:rsidRDefault="00000000">
      <w:pPr>
        <w:spacing w:before="120" w:after="160"/>
        <w:jc w:val="center"/>
      </w:pPr>
      <w:r>
        <w:t>C − P = S · exp(−qT) − K · exp(−rT)   (reduces to S − K·exp(−rT) when q = 0)</w:t>
      </w:r>
    </w:p>
    <w:tbl>
      <w:tblPr>
        <w:tblW w:w="10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200"/>
        <w:gridCol w:w="2200"/>
        <w:gridCol w:w="2000"/>
      </w:tblGrid>
      <w:tr w:rsidR="006B2F3B" w14:paraId="0997F3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Model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C − P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Se−qT − Ke−rT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Difference</w:t>
            </w:r>
          </w:p>
        </w:tc>
      </w:tr>
      <w:tr w:rsidR="006B2F3B" w14:paraId="07A9F66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Binomial — historical vol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{{PARITY_LHS_HIST}}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{{PARITY_VAL}}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{{PARITY_DIFF_HIST}}</w:t>
            </w:r>
          </w:p>
        </w:tc>
      </w:tr>
      <w:tr w:rsidR="006B2F3B" w14:paraId="034264C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Binomial — NSE-published IV</w:t>
            </w:r>
          </w:p>
        </w:tc>
        <w:tc>
          <w:tcPr>
            <w:tcW w:w="2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{{PARITY_LHS_PUBLISHED}}</w:t>
            </w:r>
          </w:p>
        </w:tc>
        <w:tc>
          <w:tcPr>
            <w:tcW w:w="2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{{PARITY_VAL}}</w:t>
            </w:r>
          </w:p>
        </w:tc>
        <w:tc>
          <w:tcPr>
            <w:tcW w:w="20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{{PARITY_DIFF_PUBLISHED}}</w:t>
            </w:r>
          </w:p>
        </w:tc>
      </w:tr>
      <w:tr w:rsidR="006B2F3B" w14:paraId="373ABBF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Binomial — solved IV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{{PARITY_LHS_SOLVED}}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{{PARITY_VAL}}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{{PARITY_DIFF_SOLVED}}</w:t>
            </w:r>
          </w:p>
        </w:tc>
      </w:tr>
      <w:tr>
        <w:tc>
          <w:tcPr>
            <w:tcW w:type="dxa" w:w="4200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Black-Scholes — historical vol</w:t>
            </w:r>
          </w:p>
        </w:tc>
        <w:tc>
          <w:tcPr>
            <w:tcW w:type="dxa" w:w="2200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{{PARITY_LHS_BS_HIST}}</w:t>
            </w:r>
          </w:p>
        </w:tc>
        <w:tc>
          <w:tcPr>
            <w:tcW w:type="dxa" w:w="2200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{{PARITY_VAL}}</w:t>
            </w:r>
          </w:p>
        </w:tc>
        <w:tc>
          <w:tcPr>
            <w:tcW w:type="dxa" w:w="2000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{{PARITY_DIFF_BS_HIST}}</w:t>
            </w:r>
          </w:p>
        </w:tc>
      </w:tr>
      <w:tr>
        <w:tc>
          <w:tcPr>
            <w:tcW w:type="dxa" w:w="4200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Black-Scholes — NSE-published IV</w:t>
            </w:r>
          </w:p>
        </w:tc>
        <w:tc>
          <w:tcPr>
            <w:tcW w:type="dxa" w:w="2200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{{PARITY_LHS_BS_PUBLISHED}}</w:t>
            </w:r>
          </w:p>
        </w:tc>
        <w:tc>
          <w:tcPr>
            <w:tcW w:type="dxa" w:w="2200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{{PARITY_VAL}}</w:t>
            </w:r>
          </w:p>
        </w:tc>
        <w:tc>
          <w:tcPr>
            <w:tcW w:type="dxa" w:w="2000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{{PARITY_DIFF_BS_PUBLISHED}}</w:t>
            </w:r>
          </w:p>
        </w:tc>
      </w:tr>
      <w:tr>
        <w:tc>
          <w:tcPr>
            <w:tcW w:type="dxa" w:w="4200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Black-Scholes — solved IV</w:t>
            </w:r>
          </w:p>
        </w:tc>
        <w:tc>
          <w:tcPr>
            <w:tcW w:type="dxa" w:w="2200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{{PARITY_LHS_BS_SOLVED}}</w:t>
            </w:r>
          </w:p>
        </w:tc>
        <w:tc>
          <w:tcPr>
            <w:tcW w:type="dxa" w:w="2200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{{PARITY_VAL}}</w:t>
            </w:r>
          </w:p>
        </w:tc>
        <w:tc>
          <w:tcPr>
            <w:tcW w:type="dxa" w:w="2000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{{PARITY_DIFF_BS_SOLVED}}</w:t>
            </w:r>
          </w:p>
        </w:tc>
      </w:tr>
    </w:tbl>
    <w:p w14:paraId="634A5456" w14:textId="77777777" w:rsidR="006B2F3B" w:rsidRDefault="006B2F3B">
      <w:pPr>
        <w:spacing w:before="200"/>
      </w:pPr>
      <w:r/>
    </w:p>
    <w:p w14:paraId="35926460" w14:textId="77777777" w:rsidR="006B2F3B" w:rsidRDefault="00000000">
      <w:pPr>
        <w:spacing w:after="160" w:line="276" w:lineRule="auto"/>
        <w:jc w:val="both"/>
      </w:pPr>
      <w:r>
        <w:t>The historical-volatility, published-IV, and solved-IV configurations all satisfy put-call parity to rounding precision. For the binomial model, C − P = {{PARITY_LHS_HIST}} and S − Ke⁻ʳᵀ = {{PARITY_VAL}}. This confirms internal consistency of the pricing framework; it is not a test of market no-arbitrage, which would require comparing live call and put market prices.</w:t>
      </w:r>
    </w:p>
    <w:p w14:paraId="4C217763" w14:textId="77777777" w:rsidR="006B2F3B" w:rsidRDefault="00000000">
      <w:pPr>
        <w:pStyle w:val="Heading1"/>
        <w:pBdr>
          <w:bottom w:val="single" w:sz="6" w:space="4" w:color="2E74B5"/>
        </w:pBdr>
        <w:spacing w:before="360" w:after="160"/>
      </w:pPr>
      <w:r>
        <w:t>9. Volatility Skew</w:t>
      </w:r>
    </w:p>
    <w:p w14:paraId="3AEDF9DD" w14:textId="40B0B0D5" w:rsidR="006B2F3B" w:rsidRDefault="00000000">
      <w:pPr>
        <w:spacing w:after="160" w:line="276" w:lineRule="auto"/>
        <w:jc w:val="both"/>
      </w:pPr>
      <w:r>
        <w:t>Black-Scholes assumes a single constant σ applies across strikes and maturities. The NSE options chain for the {{EXPIRY_DATE}} expiry shows materially different implied-volatility levels across strikes, providing evidence of volatility skew and demonstrating why a single volatility input cannot represent the entire option surface.</w:t>
      </w:r>
    </w:p>
    <w:p w14:paraId="56977883" w14:textId="77777777" w:rsidR="006B2F3B" w:rsidRDefault="00000000">
      <w:pPr>
        <w:pStyle w:val="ListParagraph"/>
        <w:numPr>
          <w:ilvl w:val="0"/>
          <w:numId w:val="2"/>
        </w:numPr>
        <w:spacing w:after="70"/>
      </w:pPr>
      <w:r>
        <w:t>Call IV across liquid strikes ranges from {{SKEW_CALL_IV_MIN}} to {{SKEW_CALL_IV_MAX}}</w:t>
      </w:r>
    </w:p>
    <w:p w14:paraId="0BF722A5" w14:textId="77777777" w:rsidR="006B2F3B" w:rsidRDefault="00000000">
      <w:pPr>
        <w:pStyle w:val="ListParagraph"/>
        <w:numPr>
          <w:ilvl w:val="0"/>
          <w:numId w:val="2"/>
        </w:numPr>
        <w:spacing w:after="70"/>
      </w:pPr>
      <w:r>
        <w:t>Put IV across liquid strikes ranges from {{SKEW_PUT_IV_MIN}} to {{SKEW_PUT_IV_MAX}}</w:t>
      </w:r>
    </w:p>
    <w:p w14:paraId="22F8BA62" w14:textId="77777777" w:rsidR="006B2F3B" w:rsidRDefault="00000000">
      <w:pPr>
        <w:pStyle w:val="ListParagraph"/>
        <w:numPr>
          <w:ilvl w:val="0"/>
          <w:numId w:val="2"/>
        </w:numPr>
        <w:spacing w:after="70"/>
      </w:pPr>
      <w:r>
        <w:t>At the strike closest to ATM with a liquid quote on both sides ({{SKEW_ATM_GAP_STRIKE}}), {{SKEW_ATM_GAP_SIDE}} IV exceeds the other side by {{SKEW_ATM_GAP}} percentage points. (Figures above are {{SKEW_LIQUIDITY_NOTE}}.)</w:t>
      </w:r>
    </w:p>
    <w:p w14:paraId="3B12FC0C" w14:textId="77777777" w:rsidR="006B2F3B" w:rsidRDefault="00000000">
      <w:pPr>
        <w:spacing w:after="160" w:line="276" w:lineRule="auto"/>
        <w:jc w:val="both"/>
      </w:pPr>
      <w:r>
        <w:t>This skew has a structural explanation: institutional investors routinely buy OTM puts as portfolio insurance, and falling prices mechanically raise leverage and risk -- both push put prices up relative to calls, with no equivalent buying pressure on the call side.</w:t>
      </w:r>
    </w:p>
    <w:p w14:paraId="625C25E9" w14:textId="77777777" w:rsidR="006B2F3B" w:rsidRDefault="00000000">
      <w:pPr>
        <w:spacing w:after="160" w:line="276" w:lineRule="auto"/>
        <w:jc w:val="both"/>
      </w:pPr>
      <w:r>
        <w:t>The practical implication for Black-Scholes: a single σ cannot correctly price calls and puts across all strikes simultaneously. Using historical volatility {{HIST_VS_MARKET_DIR}} the ATM call relative to the market; using ATM implied volatility {{PUBLISHED_VS_MARKET_DIR}} it (Section 6). The model is most wrong at the wings of the distribution — precisely where fat tails and skew matter most, and where the constant-volatility, log-normal assumption departs furthest from what the market is actually pricing.</w:t>
      </w:r>
    </w:p>
    <w:p w14:paraId="0427356A" w14:textId="77777777" w:rsidR="006B2F3B" w:rsidRDefault="00000000">
      <w:pPr>
        <w:pStyle w:val="Heading1"/>
        <w:pBdr>
          <w:bottom w:val="single" w:sz="6" w:space="4" w:color="2E74B5"/>
        </w:pBdr>
        <w:spacing w:before="360" w:after="160"/>
      </w:pPr>
      <w:r>
        <w:t>10. Model Limitations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600"/>
      </w:tblGrid>
      <w:tr w:rsidR="006B2F3B" w14:paraId="6EA1D6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38C7D8" w14:textId="77777777" w:rsidR="006B2F3B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Assumption</w:t>
            </w:r>
          </w:p>
        </w:tc>
        <w:tc>
          <w:tcPr>
            <w:tcW w:w="6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57AD57" w14:textId="77777777" w:rsidR="006B2F3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Practical Limitation</w:t>
            </w:r>
          </w:p>
        </w:tc>
      </w:tr>
      <w:tr w:rsidR="006B2F3B" w14:paraId="7BBC8A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B05A3" w14:textId="77777777" w:rsidR="006B2F3B" w:rsidRDefault="00000000">
            <w:r>
              <w:rPr>
                <w:color w:val="000000"/>
              </w:rPr>
              <w:t>Constant volatility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D425D8" w14:textId="77777777" w:rsidR="006B2F3B" w:rsidRDefault="00000000">
            <w:pPr>
              <w:jc w:val="center"/>
            </w:pPr>
            <w:r>
              <w:rPr>
                <w:color w:val="000000"/>
              </w:rPr>
              <w:t>Real-world volatility varies by strike (the smile) and clusters over time during market stress</w:t>
            </w:r>
          </w:p>
        </w:tc>
      </w:tr>
      <w:tr w:rsidR="006B2F3B" w14:paraId="2D873F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2BE1C0" w14:textId="77777777" w:rsidR="006B2F3B" w:rsidRDefault="00000000">
            <w:r>
              <w:rPr>
                <w:color w:val="000000"/>
              </w:rPr>
              <w:t>Log-normal prices</w:t>
            </w:r>
          </w:p>
        </w:tc>
        <w:tc>
          <w:tcPr>
            <w:tcW w:w="6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04942" w14:textId="77777777" w:rsidR="006B2F3B" w:rsidRDefault="00000000">
            <w:pPr>
              <w:jc w:val="center"/>
            </w:pPr>
            <w:r>
              <w:rPr>
                <w:color w:val="000000"/>
              </w:rPr>
              <w:t>Financial returns exhibit fat tails and negative skew relative to the log-normal assumption</w:t>
            </w:r>
          </w:p>
        </w:tc>
      </w:tr>
      <w:tr w:rsidR="006B2F3B" w14:paraId="43A799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AB02A4" w14:textId="77777777" w:rsidR="006B2F3B" w:rsidRDefault="00000000">
            <w:r>
              <w:rPr>
                <w:color w:val="000000"/>
              </w:rPr>
              <w:t>No dividends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912E3D" w14:textId="77777777" w:rsidR="006B2F3B" w:rsidRDefault="00000000">
            <w:pPr>
              <w:jc w:val="center"/>
            </w:pPr>
            <w:r>
              <w:rPr>
                <w:color w:val="000000"/>
              </w:rPr>
              <w:t>TCS pays dividends, which slightly affects pricing accuracy for options spanning ex-dividend dates</w:t>
            </w:r>
          </w:p>
        </w:tc>
      </w:tr>
      <w:tr w:rsidR="006B2F3B" w14:paraId="06BE18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C322F0" w14:textId="77777777" w:rsidR="006B2F3B" w:rsidRDefault="00000000">
            <w:r>
              <w:rPr>
                <w:color w:val="000000"/>
              </w:rPr>
              <w:t>Discrete time steps</w:t>
            </w:r>
          </w:p>
        </w:tc>
        <w:tc>
          <w:tcPr>
            <w:tcW w:w="6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201B24" w14:textId="77777777" w:rsidR="006B2F3B" w:rsidRDefault="00000000">
            <w:pPr>
              <w:jc w:val="center"/>
            </w:pPr>
            <w:r>
              <w:rPr>
                <w:color w:val="000000"/>
              </w:rPr>
              <w:t>Real stock prices evolve continuously; the binomial lattice is an approximation</w:t>
            </w:r>
          </w:p>
        </w:tc>
      </w:tr>
      <w:tr w:rsidR="006B2F3B" w14:paraId="4714E6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C3CF8D" w14:textId="77777777" w:rsidR="006B2F3B" w:rsidRDefault="00000000">
            <w:r>
              <w:rPr>
                <w:color w:val="000000"/>
              </w:rPr>
              <w:t>No transaction costs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FE1FC1" w14:textId="77777777" w:rsidR="006B2F3B" w:rsidRDefault="00000000">
            <w:pPr>
              <w:jc w:val="center"/>
            </w:pPr>
            <w:r>
              <w:rPr>
                <w:color w:val="000000"/>
              </w:rPr>
              <w:t>Continuous replication/hedging is costly in practice</w:t>
            </w:r>
          </w:p>
        </w:tc>
      </w:tr>
      <w:tr w:rsidR="006B2F3B" w14:paraId="7F5FAA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CF8653" w14:textId="77777777" w:rsidR="006B2F3B" w:rsidRDefault="00000000">
            <w:r>
              <w:rPr>
                <w:color w:val="000000"/>
              </w:rPr>
              <w:t>Constant risk-free rate</w:t>
            </w:r>
          </w:p>
        </w:tc>
        <w:tc>
          <w:tcPr>
            <w:tcW w:w="6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0CB2F" w14:textId="77777777" w:rsidR="006B2F3B" w:rsidRDefault="00000000">
            <w:pPr>
              <w:jc w:val="center"/>
            </w:pPr>
            <w:r>
              <w:rPr>
                <w:color w:val="000000"/>
              </w:rPr>
              <w:t>Rates can change materially over longer-dated option maturities</w:t>
            </w:r>
          </w:p>
        </w:tc>
      </w:tr>
    </w:tbl>
    <w:p w14:paraId="14146EB1" w14:textId="77777777" w:rsidR="006B2F3B" w:rsidRDefault="006B2F3B">
      <w:pPr>
        <w:spacing w:before="200"/>
      </w:pPr>
      <w:r/>
    </w:p>
    <w:p w14:paraId="6EE72A61" w14:textId="5B543BA4" w:rsidR="006B2F3B" w:rsidRDefault="00000000">
      <w:pPr>
        <w:spacing w:after="160" w:line="276" w:lineRule="auto"/>
        <w:jc w:val="both"/>
      </w:pPr>
      <w:r>
        <w:t>The most consequential limitation here is constant volatility. The NSE-published ATM IV of {{PUBLISHED_IV}}, the solved market-price IV of {{SOLVED_IV}}, and the one-year historical volatility of {{SIGMA}} are materially different measures of uncertainty. This demonstrates that a single volatility assumption is only an approximation, even for a single short-dated contract, before considering variation across strikes and maturities.</w:t>
      </w:r>
    </w:p>
    <w:p w14:paraId="6C0BCA45" w14:textId="77777777" w:rsidR="006B2F3B" w:rsidRDefault="00000000">
      <w:pPr>
        <w:pStyle w:val="Heading1"/>
        <w:pBdr>
          <w:bottom w:val="single" w:sz="6" w:space="4" w:color="2E74B5"/>
        </w:pBdr>
        <w:spacing w:before="360" w:after="160"/>
      </w:pPr>
      <w:r>
        <w:t>11. Greeks (Black-Scholes Analytical)</w:t>
      </w:r>
    </w:p>
    <w:p w14:paraId="1B5BB4DA" w14:textId="144A30FC" w:rsidR="006B2F3B" w:rsidRDefault="00000000">
      <w:pPr>
        <w:spacing w:after="160" w:line="276" w:lineRule="auto"/>
        <w:jc w:val="both"/>
      </w:pPr>
      <w:r>
        <w:t>All Greeks below are computed analytically from the Black-Scholes closed-form solution -- not from the binomial tree -- since Black-Scholes gives Greeks directly as formulas, while the binomial model would need finite-difference bumping to approximate the same thing. The table reports Greeks at historical volatility and at the solved IV, which is the volatility calibrated to the observed market premium.</w:t>
      </w:r>
    </w:p>
    <w:tbl>
      <w:tblPr>
        <w:tblW w:w="10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100"/>
        <w:gridCol w:w="2100"/>
        <w:gridCol w:w="2100"/>
        <w:gridCol w:w="2100"/>
      </w:tblGrid>
      <w:tr w:rsidR="006B2F3B" w14:paraId="3D60E6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Greek</w:t>
            </w:r>
          </w:p>
        </w:tc>
        <w:tc>
          <w:tcPr>
            <w:tcW w:w="2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Hist vol ({{SIGMA}}) — Call</w:t>
            </w:r>
          </w:p>
        </w:tc>
        <w:tc>
          <w:tcPr>
            <w:tcW w:w="2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Hist vol — Put</w:t>
            </w:r>
          </w:p>
        </w:tc>
        <w:tc>
          <w:tcPr>
            <w:tcW w:w="2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Solved IV ({{SOLVED_IV}}) — Call</w:t>
            </w:r>
          </w:p>
        </w:tc>
        <w:tc>
          <w:tcPr>
            <w:tcW w:w="2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Solved IV — Put</w:t>
            </w:r>
          </w:p>
        </w:tc>
      </w:tr>
      <w:tr w:rsidR="006B2F3B" w14:paraId="634880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Delta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{{DELTA_CALL_HIST}}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{{DELTA_PUT_HIST}}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{{DELTA_CALL_SOLVED}}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{{DELTA_PUT_SOLVED}}</w:t>
            </w:r>
          </w:p>
        </w:tc>
      </w:tr>
      <w:tr w:rsidR="006B2F3B" w14:paraId="1776EF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Gamma</w:t>
            </w:r>
          </w:p>
        </w:tc>
        <w:tc>
          <w:tcPr>
            <w:tcW w:w="21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{{GAMMA_HIST}}</w:t>
            </w:r>
          </w:p>
        </w:tc>
        <w:tc>
          <w:tcPr>
            <w:tcW w:w="21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{{GAMMA_HIST}}</w:t>
            </w:r>
          </w:p>
        </w:tc>
        <w:tc>
          <w:tcPr>
            <w:tcW w:w="21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{{GAMMA_SOLVED}}</w:t>
            </w:r>
          </w:p>
        </w:tc>
        <w:tc>
          <w:tcPr>
            <w:tcW w:w="21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{{GAMMA_SOLVED}}</w:t>
            </w:r>
          </w:p>
        </w:tc>
      </w:tr>
      <w:tr w:rsidR="006B2F3B" w14:paraId="5F4ECC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Vega (per 1% σ)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{{VEGA_HIST}}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{{VEGA_HIST}}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{{VEGA_SOLVED}}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{{VEGA_SOLVED}}</w:t>
            </w:r>
          </w:p>
        </w:tc>
      </w:tr>
      <w:tr w:rsidR="006B2F3B" w14:paraId="061204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Theta (per day)</w:t>
            </w:r>
          </w:p>
        </w:tc>
        <w:tc>
          <w:tcPr>
            <w:tcW w:w="21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{{THETA_CALL_HIST}}</w:t>
            </w:r>
          </w:p>
        </w:tc>
        <w:tc>
          <w:tcPr>
            <w:tcW w:w="21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{{THETA_PUT_HIST}}</w:t>
            </w:r>
          </w:p>
        </w:tc>
        <w:tc>
          <w:tcPr>
            <w:tcW w:w="21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{{THETA_CALL_SOLVED}}</w:t>
            </w:r>
          </w:p>
        </w:tc>
        <w:tc>
          <w:tcPr>
            <w:tcW w:w="21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{{THETA_PUT_SOLVED}}</w:t>
            </w:r>
          </w:p>
        </w:tc>
      </w:tr>
      <w:tr w:rsidR="006B2F3B" w14:paraId="28F66B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Rho (per 1% r)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{{RHO_CALL_HIST}}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{{RHO_PUT_HIST}}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{{RHO_CALL_SOLVED}}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{{RHO_PUT_SOLVED}}</w:t>
            </w:r>
          </w:p>
        </w:tc>
      </w:tr>
    </w:tbl>
    <w:p w14:paraId="107B17E9" w14:textId="77777777" w:rsidR="006B2F3B" w:rsidRDefault="006B2F3B">
      <w:pPr>
        <w:spacing w:before="200"/>
      </w:pPr>
      <w:r/>
    </w:p>
    <w:p w14:paraId="5D5108B4" w14:textId="0DB4B618" w:rsidR="006B2F3B" w:rsidRDefault="00000000">
      <w:pPr>
        <w:spacing w:after="160" w:line="276" w:lineRule="auto"/>
        <w:jc w:val="both"/>
      </w:pPr>
      <w:r>
        <w:t>The ATM call delta is close to 0.55 under both volatility inputs, as expected for a near-the-money short-dated European call. Gamma is higher at the lower solved IV because the option is closer to the peak of the gamma profile at this maturity. Vega is approximately ₹{{VEGA_HIST}} per 1 percentage-point volatility change at historical vol, and ₹{{VEGA_SOLVED}} at solved IV. Theta is negative for both calls and puts, while rho has the expected positive sign for calls and negative sign for puts.</w:t>
      </w:r>
    </w:p>
    <w:p w14:paraId="24CEA316" w14:textId="77777777" w:rsidR="006B2F3B" w:rsidRDefault="00000000">
      <w:pPr>
        <w:pStyle w:val="Heading1"/>
        <w:spacing w:before="240" w:after="100"/>
      </w:pPr>
      <w:r>
        <w:t>12. Dividend-Yield Sensitivity</w:t>
      </w:r>
    </w:p>
    <w:p w14:paraId="26534348" w14:textId="77777777" w:rsidR="006B2F3B" w:rsidRDefault="00000000">
      <w:pPr>
        <w:spacing w:after="160" w:line="276" w:lineRule="auto"/>
        <w:jc w:val="both"/>
      </w:pPr>
      <w:r>
        <w:t>This report’s headline numbers use q=0 (Section 3). Public dividend-yield aggregators for TCS disagree substantially — trailing-twelve-month figures found while preparing this section ranged from roughly 2.5% to 5.5% depending on methodology and date — so no single q was treated as authoritative here. The table below shows the mechanism’s effect at illustrative q values using the same S, K, r, σ, T as Section 6; it is not a claim about TCS’s actual current yield.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00"/>
      </w:tblGrid>
      <w:tr w:rsidR="006B2F3B" w14:paraId="1D9DEA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q (illustrative)</w:t>
            </w:r>
          </w:p>
        </w:tc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Call Price (₹)</w:t>
            </w:r>
          </w:p>
        </w:tc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Δ vs q=0 (₹)</w:t>
            </w:r>
          </w:p>
        </w:tc>
      </w:tr>
      <w:tr w:rsidR="006B2F3B" w14:paraId="74B6B4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{{Q_PCT}} (base, used in headline results)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{{SENS_Q_BASE}}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0.000</w:t>
            </w:r>
          </w:p>
        </w:tc>
      </w:tr>
      <w:tr w:rsidR="006B2F3B" w14:paraId="642229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2.0%</w:t>
            </w:r>
          </w:p>
        </w:tc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{{SENS_Q_2}}</w:t>
            </w:r>
          </w:p>
        </w:tc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{{SENS_Q_2_D}}</w:t>
            </w:r>
          </w:p>
        </w:tc>
      </w:tr>
      <w:tr w:rsidR="006B2F3B" w14:paraId="185C2A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3.5%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{{SENS_Q_35}}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{{SENS_Q_35_D}}</w:t>
            </w:r>
          </w:p>
        </w:tc>
      </w:tr>
      <w:tr w:rsidR="006B2F3B" w14:paraId="2FEAA5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5.0%</w:t>
            </w:r>
          </w:p>
        </w:tc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{{SENS_Q_5}}</w:t>
            </w:r>
          </w:p>
        </w:tc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{{SENS_Q_5_D}}</w:t>
            </w:r>
          </w:p>
        </w:tc>
      </w:tr>
    </w:tbl>
    <w:p w14:paraId="57EE84B8" w14:textId="77777777" w:rsidR="006B2F3B" w:rsidRDefault="006B2F3B">
      <w:pPr>
        <w:spacing w:before="200"/>
      </w:pPr>
      <w:r/>
    </w:p>
    <w:p w14:paraId="74666E51" w14:textId="2B60C11B" w:rsidR="006B2F3B" w:rsidRDefault="00000000">
      <w:pPr>
        <w:spacing w:after="160" w:line="276" w:lineRule="auto"/>
        <w:jc w:val="both"/>
      </w:pPr>
      <w:r>
        <w:t>For this specific {{T_DAYS_NUM}}-day contract, q=0 is a defensible simplification regardless of which yield estimate is right: the available (and mutually inconsistent) TCS ex-dividend date estimates did not point to a record date falling inside the {{DATA_DATE_DAY}}–{{EXPIRY_DATE}} window, so no dividend payment appears to fall within the option’s life. The table above exists to show the mechanism works and to size the effect — roughly ₹{{SENS_Q_RANGE_LOW}}–₹{{SENS_Q_RANGE_HIGH}} across a plausible yield range — for contracts where that assumption doesn’t hold. A production version would need a real ex-dividend calendar rather than an assumption either way.</w:t>
      </w:r>
    </w:p>
    <w:p w14:paraId="6DC98BFC" w14:textId="77777777" w:rsidR="006B2F3B" w:rsidRDefault="00000000">
      <w:pPr>
        <w:pStyle w:val="Heading1"/>
        <w:pBdr>
          <w:bottom w:val="single" w:sz="6" w:space="4" w:color="2E74B5"/>
        </w:pBdr>
        <w:spacing w:before="360" w:after="160"/>
      </w:pPr>
      <w:r>
        <w:t>13. Conclusion &amp; Next Steps</w:t>
      </w:r>
    </w:p>
    <w:p w14:paraId="680C4572" w14:textId="77777777" w:rsidR="006B2F3B" w:rsidRDefault="00000000">
      <w:pPr>
        <w:spacing w:after="160" w:line="276" w:lineRule="auto"/>
        <w:jc w:val="both"/>
      </w:pPr>
      <w:r>
        <w:t>The CRR Binomial and Black-Scholes models were successfully implemented and cross-validated. Using the selected ATM strike of {{ATM_STRIKE}}, the binomial price converges to the Black-Scholes limit as n increases, and put-call parity holds to rounding precision. Historical volatility produces {{HIST_VS_MARKET_COMPARATIVE}} the observed market premium, while solving for volatility from the market premium gives {{SOLVED_IV}}. The results demonstrate both the usefulness and the limitations of constant-volatility option pricing.</w:t>
      </w:r>
    </w:p>
    <w:p w14:paraId="39D10CD7" w14:textId="77777777" w:rsidR="006B2F3B" w:rsidRDefault="00000000">
      <w:pPr>
        <w:spacing w:after="160" w:line="276" w:lineRule="auto"/>
        <w:jc w:val="both"/>
      </w:pPr>
      <w:r>
        <w:t>This is the expected and instructive result: the volatility smile is the clearest empirical limitation of Black-Scholes, and it points directly to the next stages of this project:</w:t>
      </w:r>
    </w:p>
    <w:p w14:paraId="23E6798F" w14:textId="77777777" w:rsidR="006B2F3B" w:rsidRDefault="00000000">
      <w:pPr>
        <w:pStyle w:val="ListParagraph"/>
        <w:numPr>
          <w:ilvl w:val="0"/>
          <w:numId w:val="2"/>
        </w:numPr>
        <w:spacing w:after="70"/>
      </w:pPr>
      <w:r>
        <w:t>GARCH — models time-varying volatility and clustering (Stage 2)</w:t>
      </w:r>
    </w:p>
    <w:p w14:paraId="5BD23A8A" w14:textId="77777777" w:rsidR="006B2F3B" w:rsidRDefault="00000000">
      <w:pPr>
        <w:pStyle w:val="ListParagraph"/>
        <w:numPr>
          <w:ilvl w:val="0"/>
          <w:numId w:val="2"/>
        </w:numPr>
        <w:spacing w:after="70"/>
      </w:pPr>
      <w:r>
        <w:t>Stochastic-volatility / local-volatility extensions</w:t>
      </w:r>
    </w:p>
    <w:p w14:paraId="2B1CA6F0" w14:textId="77777777" w:rsidR="006B2F3B" w:rsidRDefault="00000000">
      <w:pPr>
        <w:pStyle w:val="ListParagraph"/>
        <w:numPr>
          <w:ilvl w:val="0"/>
          <w:numId w:val="2"/>
        </w:numPr>
        <w:spacing w:after="70"/>
      </w:pPr>
      <w:r>
        <w:t>Heston model — stochastic volatility, fitted directly to the observed volatility smile that Black-Scholes cannot reproduce (Stage 4)</w:t>
      </w:r>
    </w:p>
    <w:p w14:paraId="053D00C2" w14:textId="77777777" w:rsidR="006B2F3B" w:rsidRDefault="00000000">
      <w:pPr>
        <w:spacing w:after="160" w:line="276" w:lineRule="auto"/>
        <w:jc w:val="both"/>
      </w:pPr>
      <w:r>
        <w:t>Despite its limitations, the CRR framework remains an intuitive and computationally effective foundation for understanding derivative pricing and risk-neutral valuation, and provides the baseline against which these more advanced models will be benchmarked.</w:t>
      </w:r>
    </w:p>
    <w:sectPr w:rsidR="006B2F3B">
      <w:headerReference w:type="default" r:id="rId7"/>
      <w:footerReference w:type="default" r:id="rId8"/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AE06A" w14:textId="77777777" w:rsidR="001057BE" w:rsidRDefault="001057BE">
      <w:r>
        <w:separator/>
      </w:r>
    </w:p>
  </w:endnote>
  <w:endnote w:type="continuationSeparator" w:id="0">
    <w:p w14:paraId="30D94279" w14:textId="77777777" w:rsidR="001057BE" w:rsidRDefault="001057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3CC4A" w14:textId="77777777" w:rsidR="006B2F3B" w:rsidRDefault="0000000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905893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905893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17919" w14:textId="77777777" w:rsidR="001057BE" w:rsidRDefault="001057BE">
      <w:r>
        <w:separator/>
      </w:r>
    </w:p>
  </w:footnote>
  <w:footnote w:type="continuationSeparator" w:id="0">
    <w:p w14:paraId="491BFEB5" w14:textId="77777777" w:rsidR="001057BE" w:rsidRDefault="001057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8333B" w14:textId="77777777" w:rsidR="006B2F3B" w:rsidRDefault="00000000">
    <w:pPr>
      <w:pBdr>
        <w:bottom w:val="single" w:sz="4" w:space="4" w:color="BFBFBF"/>
      </w:pBdr>
      <w:jc w:val="right"/>
    </w:pPr>
    <w:r>
      <w:t>TCS Options Pricing &amp; Volatility 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7F372A"/>
    <w:multiLevelType w:val="hybridMultilevel"/>
    <w:tmpl w:val="2B6E7A34"/>
    <w:lvl w:ilvl="0" w:tplc="B1AA7138">
      <w:start w:val="1"/>
      <w:numFmt w:val="bullet"/>
      <w:lvlText w:val="•"/>
      <w:lvlJc w:val="left"/>
      <w:pPr>
        <w:ind w:left="504" w:hanging="259"/>
      </w:pPr>
    </w:lvl>
    <w:lvl w:ilvl="1" w:tplc="D8141A44">
      <w:numFmt w:val="decimal"/>
      <w:lvlText w:val=""/>
      <w:lvlJc w:val="left"/>
    </w:lvl>
    <w:lvl w:ilvl="2" w:tplc="196C84BA">
      <w:numFmt w:val="decimal"/>
      <w:lvlText w:val=""/>
      <w:lvlJc w:val="left"/>
    </w:lvl>
    <w:lvl w:ilvl="3" w:tplc="76BED6CC">
      <w:numFmt w:val="decimal"/>
      <w:lvlText w:val=""/>
      <w:lvlJc w:val="left"/>
    </w:lvl>
    <w:lvl w:ilvl="4" w:tplc="12FA5852">
      <w:numFmt w:val="decimal"/>
      <w:lvlText w:val=""/>
      <w:lvlJc w:val="left"/>
    </w:lvl>
    <w:lvl w:ilvl="5" w:tplc="CE6E1114">
      <w:numFmt w:val="decimal"/>
      <w:lvlText w:val=""/>
      <w:lvlJc w:val="left"/>
    </w:lvl>
    <w:lvl w:ilvl="6" w:tplc="B3565C9A">
      <w:numFmt w:val="decimal"/>
      <w:lvlText w:val=""/>
      <w:lvlJc w:val="left"/>
    </w:lvl>
    <w:lvl w:ilvl="7" w:tplc="0F905062">
      <w:numFmt w:val="decimal"/>
      <w:lvlText w:val=""/>
      <w:lvlJc w:val="left"/>
    </w:lvl>
    <w:lvl w:ilvl="8" w:tplc="2440227E">
      <w:numFmt w:val="decimal"/>
      <w:lvlText w:val=""/>
      <w:lvlJc w:val="left"/>
    </w:lvl>
  </w:abstractNum>
  <w:abstractNum w:abstractNumId="1" w15:restartNumberingAfterBreak="0">
    <w:nsid w:val="65647760"/>
    <w:multiLevelType w:val="hybridMultilevel"/>
    <w:tmpl w:val="C4CC4C8C"/>
    <w:lvl w:ilvl="0" w:tplc="2FCC0002">
      <w:start w:val="1"/>
      <w:numFmt w:val="bullet"/>
      <w:lvlText w:val="●"/>
      <w:lvlJc w:val="left"/>
      <w:pPr>
        <w:ind w:left="720" w:hanging="360"/>
      </w:pPr>
    </w:lvl>
    <w:lvl w:ilvl="1" w:tplc="9D2ACA36">
      <w:start w:val="1"/>
      <w:numFmt w:val="bullet"/>
      <w:lvlText w:val="○"/>
      <w:lvlJc w:val="left"/>
      <w:pPr>
        <w:ind w:left="1440" w:hanging="360"/>
      </w:pPr>
    </w:lvl>
    <w:lvl w:ilvl="2" w:tplc="33C226CC">
      <w:start w:val="1"/>
      <w:numFmt w:val="bullet"/>
      <w:lvlText w:val="■"/>
      <w:lvlJc w:val="left"/>
      <w:pPr>
        <w:ind w:left="2160" w:hanging="360"/>
      </w:pPr>
    </w:lvl>
    <w:lvl w:ilvl="3" w:tplc="EAE4EEA2">
      <w:start w:val="1"/>
      <w:numFmt w:val="bullet"/>
      <w:lvlText w:val="●"/>
      <w:lvlJc w:val="left"/>
      <w:pPr>
        <w:ind w:left="2880" w:hanging="360"/>
      </w:pPr>
    </w:lvl>
    <w:lvl w:ilvl="4" w:tplc="720E2314">
      <w:start w:val="1"/>
      <w:numFmt w:val="bullet"/>
      <w:lvlText w:val="○"/>
      <w:lvlJc w:val="left"/>
      <w:pPr>
        <w:ind w:left="3600" w:hanging="360"/>
      </w:pPr>
    </w:lvl>
    <w:lvl w:ilvl="5" w:tplc="3A183EB4">
      <w:start w:val="1"/>
      <w:numFmt w:val="bullet"/>
      <w:lvlText w:val="■"/>
      <w:lvlJc w:val="left"/>
      <w:pPr>
        <w:ind w:left="4320" w:hanging="360"/>
      </w:pPr>
    </w:lvl>
    <w:lvl w:ilvl="6" w:tplc="EB12B0E0">
      <w:start w:val="1"/>
      <w:numFmt w:val="bullet"/>
      <w:lvlText w:val="●"/>
      <w:lvlJc w:val="left"/>
      <w:pPr>
        <w:ind w:left="5040" w:hanging="360"/>
      </w:pPr>
    </w:lvl>
    <w:lvl w:ilvl="7" w:tplc="16F6291E">
      <w:start w:val="1"/>
      <w:numFmt w:val="bullet"/>
      <w:lvlText w:val="●"/>
      <w:lvlJc w:val="left"/>
      <w:pPr>
        <w:ind w:left="5760" w:hanging="360"/>
      </w:pPr>
    </w:lvl>
    <w:lvl w:ilvl="8" w:tplc="BDC00C18">
      <w:start w:val="1"/>
      <w:numFmt w:val="bullet"/>
      <w:lvlText w:val="●"/>
      <w:lvlJc w:val="left"/>
      <w:pPr>
        <w:ind w:left="6480" w:hanging="360"/>
      </w:pPr>
    </w:lvl>
  </w:abstractNum>
  <w:num w:numId="1" w16cid:durableId="921796521">
    <w:abstractNumId w:val="1"/>
    <w:lvlOverride w:ilvl="0">
      <w:startOverride w:val="1"/>
    </w:lvlOverride>
  </w:num>
  <w:num w:numId="2" w16cid:durableId="1283248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F3B"/>
    <w:rsid w:val="001057BE"/>
    <w:rsid w:val="006B2F3B"/>
    <w:rsid w:val="00905893"/>
    <w:rsid w:val="00CC6169"/>
    <w:rsid w:val="00E322F3"/>
    <w:rsid w:val="00F77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FBA2DD"/>
  <w15:docId w15:val="{EDFCC7B8-F4E3-1E47-96FD-3C0144B11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3334</Words>
  <Characters>19008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Siddarth Venkat</cp:lastModifiedBy>
  <cp:revision>3</cp:revision>
  <dcterms:created xsi:type="dcterms:W3CDTF">2026-08-14T09:15:00Z</dcterms:created>
  <dcterms:modified xsi:type="dcterms:W3CDTF">2026-08-18T07:10:00Z</dcterms:modified>
</cp:coreProperties>
</file>