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37686rwju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SOC336 — Windows OLE Zero-Click RCE Exploitation Detected (CVE-2025–21298)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6ptfq4i6u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Alert ID — </w:t>
      </w:r>
      <w:r w:rsidDel="00000000" w:rsidR="00000000" w:rsidRPr="00000000">
        <w:rPr>
          <w:rtl w:val="0"/>
        </w:rPr>
        <w:t xml:space="preserve">SOC336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 ID — </w:t>
      </w: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Detection Rule — </w:t>
      </w:r>
      <w:r w:rsidDel="00000000" w:rsidR="00000000" w:rsidRPr="00000000">
        <w:rPr>
          <w:rtl w:val="0"/>
        </w:rPr>
        <w:t xml:space="preserve">Windows OLE Zero-Click RCE Exploitation Detected (CVE-2025–21298)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 Time (UTC) — </w:t>
      </w:r>
      <w:r w:rsidDel="00000000" w:rsidR="00000000" w:rsidRPr="00000000">
        <w:rPr>
          <w:rtl w:val="0"/>
        </w:rPr>
        <w:t xml:space="preserve">Feb, 04, 2025, 04:18 PM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 Email — </w:t>
      </w:r>
      <w:r w:rsidDel="00000000" w:rsidR="00000000" w:rsidRPr="00000000">
        <w:rPr>
          <w:rtl w:val="0"/>
        </w:rPr>
        <w:t xml:space="preserve">projectmanagement@pm.me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SMTP Address — 84.38.130.118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 Email — </w:t>
      </w:r>
      <w:r w:rsidDel="00000000" w:rsidR="00000000" w:rsidRPr="00000000">
        <w:rPr>
          <w:rtl w:val="0"/>
        </w:rPr>
        <w:t xml:space="preserve">Austin@letsdefend.io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 Subject — </w:t>
      </w:r>
      <w:r w:rsidDel="00000000" w:rsidR="00000000" w:rsidRPr="00000000">
        <w:rPr>
          <w:rtl w:val="0"/>
        </w:rPr>
        <w:t xml:space="preserve">Important: Action Required for Upcoming Project Deadline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Device Action — </w:t>
      </w:r>
      <w:r w:rsidDel="00000000" w:rsidR="00000000" w:rsidRPr="00000000">
        <w:rPr>
          <w:rtl w:val="0"/>
        </w:rPr>
        <w:t xml:space="preserve">Allowed (Email delivered)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Attachment — mail.rtf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Attachment hash — df993d037cdb77a435d6993a37e7750dbbb16b2df64916499845b56aa9194184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Trigger Reason — </w:t>
      </w:r>
      <w:r w:rsidDel="00000000" w:rsidR="00000000" w:rsidRPr="00000000">
        <w:rPr>
          <w:rtl w:val="0"/>
        </w:rPr>
        <w:t xml:space="preserve">Malicious RTF attachment identified with known CVE-2025–21298 exploit pattern.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4860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w76ytmz62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Analysis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us start by investigating the email.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4669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email seems to instill a sense of urgency in order to trick the user into opening the attachment.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we can check Threat Intelligence to see if there is any known malicious identifiers with this email.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we can check with the SMTP address.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8097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we can see above, the IP address is a know malicious IP.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we can take a look at the hash of the attachment file.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7049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it is clear that the email and the attachment are clearly malicious.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this finding, we need to see if the user had interacted with this email. We can do this by going to the Endpoint Security and having a look at the device of the user Austin.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019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terminal history of the user, there is a malicious command which is typically used in LOLBIN exploits.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695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downloads and executes remote malicious script without dropping a file to disk. By using regsrv32.exe it bypasses the security as this is a legitimate windows binary. Also the IP address in this command is the same as the SMTP address we checked earlier.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rsiznw3ay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Playbook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we observed malicious network traffic, we can select the first option here.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086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 email reached the end user’s endpoint and the user interacted with the email, we can select not quarantined.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5718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11239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see above, that the file is indeed malicious.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105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4575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had already checked the users terminal history that the C2 URL was requested. We can also check this in the Log management.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5528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we can confirm that the C2 was accessed.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686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866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click next and go to the endpoint section and contain the endpoint.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we can write the report and close the alert as true positive and send it for further analysis.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2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