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dq3lrg134w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IcedID — CyberDefenders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A cyber threat group was identified for initiating widespread phishing campaigns to distribute further malicious payloads. The most frequently encountered payloads were IcedID. You have been given a hash of an IcedID sample to analyze and monitor the activities of this advanced persistent threat (APT) group.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12763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name of the file associated with the given hash?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Submit the hash to VirusTotal.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1028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head to details tab to check the file name.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64865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8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document-1982481273.xlsm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Can you identify the filename of the GIF file that was deployed?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VirusTotal, head to the “Relations” tab and look at dropped files section.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40576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3003.gif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How many domains does the malware look to download the additional payload file in Q2?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Under the Relations tab, we can look at the contacted URL’s, which download the above file.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714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From the domains mentioned in Q3, a DNS registrar was predominantly used by the threat actor to host their harmful content, enabling the malware’s functionality. Can you specify the Registrar INC?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VirusTotal relations tab, check for the registrar name that has appeared most times for the above identified domains.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35909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NAMECHEAP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Could you specify the threat actor linked to the sample provided?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Searching for IcedID on Malpedia gave a lot of reports relating to the malware. These reports contained the malware family.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5050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Gold Cabin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In the Execution phase, what function does the malware employ to fetch extra payloads onto the system?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report at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https://tria.ge/240417-nn49gaeh9t/behavioral1</w:t>
        </w:r>
      </w:hyperlink>
      <w:r w:rsidDel="00000000" w:rsidR="00000000" w:rsidRPr="00000000">
        <w:rPr>
          <w:rtl w:val="0"/>
        </w:rPr>
        <w:t xml:space="preserve">, lists out the function used for fetching the extra payload.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7143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URLDownloadToFileA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end of the investigation.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hyperlink" Target="https://tria.ge/240417-nn49gaeh9t/behavioral1" TargetMode="Externa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hyperlink" Target="https://tria.ge/240417-nn49gaeh9t/behavioral1" TargetMode="Externa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