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rPr>
          <w:rFonts w:ascii="Arial" w:cs="Arial" w:eastAsia="Arial" w:hAnsi="Arial"/>
          <w:b/>
          <w:bCs/>
          <w:color w:val="1A1A2E"/>
          <w:sz w:val="48"/>
          <w:szCs w:val="48"/>
        </w:rPr>
        <w:t xml:space="preserve">TX SPARKS LUXURY HOMES</w:t>
      </w:r>
    </w:p>
    <w:p>
      <w:pPr>
        <w:pBdr>
          <w:bottom w:val="single" w:color="B8860B" w:sz="12" w:space="6"/>
        </w:pBdr>
        <w:spacing w:after="0" w:before="0"/>
      </w:pPr>
      <w:r>
        <w:rPr>
          <w:rFonts w:ascii="Arial" w:cs="Arial" w:eastAsia="Arial" w:hAnsi="Arial"/>
          <w:i/>
          <w:iCs/>
          <w:color w:val="4A4A6A"/>
          <w:sz w:val="22"/>
          <w:szCs w:val="22"/>
        </w:rPr>
        <w:t xml:space="preserve">Structural Steel  •  LGS Systems  •  Custom Architectural Excellence</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280"/>
              <w:left w:type="dxa" w:w="360"/>
              <w:bottom w:type="dxa" w:w="280"/>
              <w:right w:type="dxa" w:w="360"/>
            </w:tcMar>
          </w:tcPr>
          <w:p>
            <w:pPr>
              <w:jc w:val="center"/>
            </w:pPr>
            <w:r>
              <w:rPr>
                <w:rFonts w:ascii="Arial" w:cs="Arial" w:eastAsia="Arial" w:hAnsi="Arial"/>
                <w:b/>
                <w:bCs/>
                <w:color w:val="B8860B"/>
                <w:sz w:val="40"/>
                <w:szCs w:val="40"/>
              </w:rPr>
              <w:t xml:space="preserve">KEY CHALLENGES &amp; IMPROVEMENT AREAS</w:t>
            </w:r>
          </w:p>
          <w:p>
            <w:pPr>
              <w:spacing w:before="80"/>
              <w:jc w:val="center"/>
            </w:pPr>
            <w:r>
              <w:rPr>
                <w:rFonts w:ascii="Arial" w:cs="Arial" w:eastAsia="Arial" w:hAnsi="Arial"/>
                <w:i/>
                <w:iCs/>
                <w:color w:val="FFFFFF"/>
                <w:sz w:val="24"/>
                <w:szCs w:val="24"/>
              </w:rPr>
              <w:t xml:space="preserve">Strategic Action Report  |  June 2026</w:t>
            </w:r>
          </w:p>
          <w:p>
            <w:pPr>
              <w:spacing w:before="60"/>
              <w:jc w:val="center"/>
            </w:pPr>
            <w:r>
              <w:rPr>
                <w:rFonts w:ascii="Arial" w:cs="Arial" w:eastAsia="Arial" w:hAnsi="Arial"/>
                <w:color w:val="AAAACC"/>
                <w:sz w:val="20"/>
                <w:szCs w:val="20"/>
              </w:rPr>
              <w:t xml:space="preserve">Prepared Post SMM Review Meeting  |  Submitted to Leadership</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EDD8" w:val="clear"/>
            <w:tcMar>
              <w:top w:type="dxa" w:w="80"/>
              <w:left w:type="dxa" w:w="140"/>
              <w:bottom w:type="dxa" w:w="80"/>
              <w:right w:type="dxa" w:w="120"/>
            </w:tcMar>
          </w:tcPr>
          <w:p>
            <w:r>
              <w:rPr>
                <w:rFonts w:ascii="Arial" w:cs="Arial" w:eastAsia="Arial" w:hAnsi="Arial"/>
                <w:b/>
                <w:bCs/>
                <w:color w:val="1A1A2E"/>
                <w:sz w:val="21"/>
                <w:szCs w:val="21"/>
              </w:rPr>
              <w:t xml:space="preserve">Prepared By</w:t>
            </w:r>
          </w:p>
        </w:tc>
        <w:tc>
          <w:tcPr>
            <w:tcW w:type="dxa" w:w="6560"/>
            <w:tcBorders>
              <w:top w:val="single" w:color="CCCCCC" w:sz="1"/>
              <w:left w:val="single" w:color="CCCCCC" w:sz="1"/>
              <w:bottom w:val="single" w:color="CCCCCC" w:sz="1"/>
              <w:right w:val="single" w:color="CCCCCC" w:sz="1"/>
            </w:tcBorders>
            <w:shd w:fill="FAFAF6" w:val="clear"/>
            <w:tcMar>
              <w:top w:type="dxa" w:w="80"/>
              <w:left w:type="dxa" w:w="140"/>
              <w:bottom w:type="dxa" w:w="80"/>
              <w:right w:type="dxa" w:w="120"/>
            </w:tcMar>
          </w:tcPr>
          <w:p>
            <w:r>
              <w:rPr>
                <w:rFonts w:ascii="Arial" w:cs="Arial" w:eastAsia="Arial" w:hAnsi="Arial"/>
                <w:color w:val="2C2C2C"/>
                <w:sz w:val="21"/>
                <w:szCs w:val="21"/>
              </w:rPr>
              <w:t xml:space="preserve">Shivang Negi, Business Development Manager</w:t>
            </w:r>
          </w:p>
        </w:tc>
      </w:tr>
      <w:tr>
        <w:tc>
          <w:tcPr>
            <w:tcW w:type="dxa" w:w="2800"/>
            <w:tcBorders>
              <w:top w:val="single" w:color="CCCCCC" w:sz="1"/>
              <w:left w:val="single" w:color="CCCCCC" w:sz="1"/>
              <w:bottom w:val="single" w:color="CCCCCC" w:sz="1"/>
              <w:right w:val="single" w:color="CCCCCC" w:sz="1"/>
            </w:tcBorders>
            <w:shd w:fill="FFF8E7" w:val="clear"/>
            <w:tcMar>
              <w:top w:type="dxa" w:w="80"/>
              <w:left w:type="dxa" w:w="140"/>
              <w:bottom w:type="dxa" w:w="80"/>
              <w:right w:type="dxa" w:w="120"/>
            </w:tcMar>
          </w:tcPr>
          <w:p>
            <w:r>
              <w:rPr>
                <w:rFonts w:ascii="Arial" w:cs="Arial" w:eastAsia="Arial" w:hAnsi="Arial"/>
                <w:b/>
                <w:bCs/>
                <w:color w:val="1A1A2E"/>
                <w:sz w:val="21"/>
                <w:szCs w:val="21"/>
              </w:rPr>
              <w:t xml:space="preserve">Report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C2C2C"/>
                <w:sz w:val="21"/>
                <w:szCs w:val="21"/>
              </w:rPr>
              <w:t xml:space="preserve">June 12, 2026</w:t>
            </w:r>
          </w:p>
        </w:tc>
      </w:tr>
      <w:tr>
        <w:tc>
          <w:tcPr>
            <w:tcW w:type="dxa" w:w="2800"/>
            <w:tcBorders>
              <w:top w:val="single" w:color="CCCCCC" w:sz="1"/>
              <w:left w:val="single" w:color="CCCCCC" w:sz="1"/>
              <w:bottom w:val="single" w:color="CCCCCC" w:sz="1"/>
              <w:right w:val="single" w:color="CCCCCC" w:sz="1"/>
            </w:tcBorders>
            <w:shd w:fill="F0EDD8" w:val="clear"/>
            <w:tcMar>
              <w:top w:type="dxa" w:w="80"/>
              <w:left w:type="dxa" w:w="140"/>
              <w:bottom w:type="dxa" w:w="80"/>
              <w:right w:type="dxa" w:w="120"/>
            </w:tcMar>
          </w:tcPr>
          <w:p>
            <w:r>
              <w:rPr>
                <w:rFonts w:ascii="Arial" w:cs="Arial" w:eastAsia="Arial" w:hAnsi="Arial"/>
                <w:b/>
                <w:bCs/>
                <w:color w:val="1A1A2E"/>
                <w:sz w:val="21"/>
                <w:szCs w:val="21"/>
              </w:rPr>
              <w:t xml:space="preserve">SMM Lead</w:t>
            </w:r>
          </w:p>
        </w:tc>
        <w:tc>
          <w:tcPr>
            <w:tcW w:type="dxa" w:w="6560"/>
            <w:tcBorders>
              <w:top w:val="single" w:color="CCCCCC" w:sz="1"/>
              <w:left w:val="single" w:color="CCCCCC" w:sz="1"/>
              <w:bottom w:val="single" w:color="CCCCCC" w:sz="1"/>
              <w:right w:val="single" w:color="CCCCCC" w:sz="1"/>
            </w:tcBorders>
            <w:shd w:fill="FAFAF6" w:val="clear"/>
            <w:tcMar>
              <w:top w:type="dxa" w:w="80"/>
              <w:left w:type="dxa" w:w="140"/>
              <w:bottom w:type="dxa" w:w="80"/>
              <w:right w:type="dxa" w:w="120"/>
            </w:tcMar>
          </w:tcPr>
          <w:p>
            <w:r>
              <w:rPr>
                <w:rFonts w:ascii="Arial" w:cs="Arial" w:eastAsia="Arial" w:hAnsi="Arial"/>
                <w:color w:val="2C2C2C"/>
                <w:sz w:val="21"/>
                <w:szCs w:val="21"/>
              </w:rPr>
              <w:t xml:space="preserve">Varinsh</w:t>
            </w:r>
          </w:p>
        </w:tc>
      </w:tr>
      <w:tr>
        <w:tc>
          <w:tcPr>
            <w:tcW w:type="dxa" w:w="2800"/>
            <w:tcBorders>
              <w:top w:val="single" w:color="CCCCCC" w:sz="1"/>
              <w:left w:val="single" w:color="CCCCCC" w:sz="1"/>
              <w:bottom w:val="single" w:color="CCCCCC" w:sz="1"/>
              <w:right w:val="single" w:color="CCCCCC" w:sz="1"/>
            </w:tcBorders>
            <w:shd w:fill="FFF8E7" w:val="clear"/>
            <w:tcMar>
              <w:top w:type="dxa" w:w="80"/>
              <w:left w:type="dxa" w:w="140"/>
              <w:bottom w:type="dxa" w:w="80"/>
              <w:right w:type="dxa" w:w="120"/>
            </w:tcMar>
          </w:tcPr>
          <w:p>
            <w:r>
              <w:rPr>
                <w:rFonts w:ascii="Arial" w:cs="Arial" w:eastAsia="Arial" w:hAnsi="Arial"/>
                <w:b/>
                <w:bCs/>
                <w:color w:val="1A1A2E"/>
                <w:sz w:val="21"/>
                <w:szCs w:val="21"/>
              </w:rPr>
              <w:t xml:space="preserve">Submitted 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C2C2C"/>
                <w:sz w:val="21"/>
                <w:szCs w:val="21"/>
              </w:rPr>
              <w:t xml:space="preserve">Ravi Sir, Sandhya Ma'am</w:t>
            </w:r>
          </w:p>
        </w:tc>
      </w:tr>
      <w:tr>
        <w:tc>
          <w:tcPr>
            <w:tcW w:type="dxa" w:w="2800"/>
            <w:tcBorders>
              <w:top w:val="single" w:color="CCCCCC" w:sz="1"/>
              <w:left w:val="single" w:color="CCCCCC" w:sz="1"/>
              <w:bottom w:val="single" w:color="CCCCCC" w:sz="1"/>
              <w:right w:val="single" w:color="CCCCCC" w:sz="1"/>
            </w:tcBorders>
            <w:shd w:fill="F0EDD8" w:val="clear"/>
            <w:tcMar>
              <w:top w:type="dxa" w:w="80"/>
              <w:left w:type="dxa" w:w="140"/>
              <w:bottom w:type="dxa" w:w="80"/>
              <w:right w:type="dxa" w:w="120"/>
            </w:tcMar>
          </w:tcPr>
          <w:p>
            <w:r>
              <w:rPr>
                <w:rFonts w:ascii="Arial" w:cs="Arial" w:eastAsia="Arial" w:hAnsi="Arial"/>
                <w:b/>
                <w:bCs/>
                <w:color w:val="1A1A2E"/>
                <w:sz w:val="21"/>
                <w:szCs w:val="21"/>
              </w:rPr>
              <w:t xml:space="preserve">Classification</w:t>
            </w:r>
          </w:p>
        </w:tc>
        <w:tc>
          <w:tcPr>
            <w:tcW w:type="dxa" w:w="6560"/>
            <w:tcBorders>
              <w:top w:val="single" w:color="CCCCCC" w:sz="1"/>
              <w:left w:val="single" w:color="CCCCCC" w:sz="1"/>
              <w:bottom w:val="single" w:color="CCCCCC" w:sz="1"/>
              <w:right w:val="single" w:color="CCCCCC" w:sz="1"/>
            </w:tcBorders>
            <w:shd w:fill="FAFAF6" w:val="clear"/>
            <w:tcMar>
              <w:top w:type="dxa" w:w="80"/>
              <w:left w:type="dxa" w:w="140"/>
              <w:bottom w:type="dxa" w:w="80"/>
              <w:right w:type="dxa" w:w="120"/>
            </w:tcMar>
          </w:tcPr>
          <w:p>
            <w:r>
              <w:rPr>
                <w:rFonts w:ascii="Arial" w:cs="Arial" w:eastAsia="Arial" w:hAnsi="Arial"/>
                <w:color w:val="2C2C2C"/>
                <w:sz w:val="21"/>
                <w:szCs w:val="21"/>
              </w:rPr>
              <w:t xml:space="preserve">Confidential — Internal Leadership Use Only</w:t>
            </w:r>
          </w:p>
        </w:tc>
      </w:tr>
      <w:tr>
        <w:tc>
          <w:tcPr>
            <w:tcW w:type="dxa" w:w="2800"/>
            <w:tcBorders>
              <w:top w:val="single" w:color="CCCCCC" w:sz="1"/>
              <w:left w:val="single" w:color="CCCCCC" w:sz="1"/>
              <w:bottom w:val="single" w:color="CCCCCC" w:sz="1"/>
              <w:right w:val="single" w:color="CCCCCC" w:sz="1"/>
            </w:tcBorders>
            <w:shd w:fill="FFF8E7" w:val="clear"/>
            <w:tcMar>
              <w:top w:type="dxa" w:w="80"/>
              <w:left w:type="dxa" w:w="140"/>
              <w:bottom w:type="dxa" w:w="80"/>
              <w:right w:type="dxa" w:w="120"/>
            </w:tcMar>
          </w:tcPr>
          <w:p>
            <w:r>
              <w:rPr>
                <w:rFonts w:ascii="Arial" w:cs="Arial" w:eastAsia="Arial" w:hAnsi="Arial"/>
                <w:b/>
                <w:bCs/>
                <w:color w:val="1A1A2E"/>
                <w:sz w:val="21"/>
                <w:szCs w:val="21"/>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C2C2C"/>
                <w:sz w:val="21"/>
                <w:szCs w:val="21"/>
              </w:rPr>
              <w:t xml:space="preserve">1.0 — Initial Report</w:t>
            </w:r>
          </w:p>
        </w:tc>
      </w:tr>
    </w:tbl>
    <w:p>
      <w:pPr>
        <w:spacing w:after="0" w:before="200"/>
      </w:pPr>
      <w:r>
        <w:t xml:space="preserve"/>
      </w:r>
    </w:p>
    <w:p>
      <w:pPr>
        <w:pStyle w:val="Heading1"/>
        <w:pBdr>
          <w:bottom w:val="single" w:color="B8860B" w:sz="6" w:space="4"/>
        </w:pBdr>
        <w:spacing w:after="200" w:before="400"/>
      </w:pPr>
      <w:r>
        <w:rPr>
          <w:rFonts w:ascii="Arial" w:cs="Arial" w:eastAsia="Arial" w:hAnsi="Arial"/>
          <w:b/>
          <w:bCs/>
          <w:color w:val="1A1A2E"/>
          <w:sz w:val="32"/>
          <w:szCs w:val="32"/>
        </w:rPr>
        <w:t xml:space="preserve">EXECUTIVE SUMMARY</w:t>
      </w:r>
    </w:p>
    <w:p>
      <w:pPr>
        <w:spacing w:after="80" w:before="60"/>
      </w:pPr>
      <w:r>
        <w:rPr>
          <w:rFonts w:ascii="Arial" w:cs="Arial" w:eastAsia="Arial" w:hAnsi="Arial"/>
          <w:color w:val="2C2C2C"/>
          <w:sz w:val="22"/>
          <w:szCs w:val="22"/>
        </w:rPr>
        <w:t xml:space="preserve">TX Sparks Luxury Homes has successfully delivered a landmark custom luxury home project in Austin, demonstrating our technical capability and construction excellence using Structural Steel and Light Gauge Steel (LGS) systems. However, converting this proof-of-concept into a sustained pipeline of luxury home build contracts remains a critical challenge.</w:t>
      </w:r>
    </w:p>
    <w:p>
      <w:pPr>
        <w:spacing w:after="0" w:before="80"/>
      </w:pPr>
      <w:r>
        <w:t xml:space="preserve"/>
      </w:r>
    </w:p>
    <w:p>
      <w:pPr>
        <w:spacing w:after="80" w:before="60"/>
      </w:pPr>
      <w:r>
        <w:rPr>
          <w:rFonts w:ascii="Arial" w:cs="Arial" w:eastAsia="Arial" w:hAnsi="Arial"/>
          <w:color w:val="2C2C2C"/>
          <w:sz w:val="22"/>
          <w:szCs w:val="22"/>
        </w:rPr>
        <w:t xml:space="preserve">This report identifies five core challenges facing TX Sparks Luxury Homes across business development, marketing, lead generation, and brand positioning. For each challenge, data-backed solutions and a phased implementation roadmap are provided. The goal is to transform TX Sparks from a proven one-project builder into the premier luxury home brand in the Austin Metro and broader Texas market.</w:t>
      </w:r>
    </w:p>
    <w:p>
      <w:pPr>
        <w:spacing w:after="0" w:before="140"/>
      </w:pPr>
      <w:r>
        <w:t xml:space="preserve"/>
      </w:r>
    </w:p>
    <w:p>
      <w:pPr>
        <w:pStyle w:val="Heading1"/>
        <w:pBdr>
          <w:bottom w:val="single" w:color="B8860B" w:sz="6" w:space="4"/>
        </w:pBdr>
        <w:spacing w:after="200" w:before="400"/>
      </w:pPr>
      <w:r>
        <w:rPr>
          <w:rFonts w:ascii="Arial" w:cs="Arial" w:eastAsia="Arial" w:hAnsi="Arial"/>
          <w:b/>
          <w:bCs/>
          <w:color w:val="1A1A2E"/>
          <w:sz w:val="32"/>
          <w:szCs w:val="32"/>
        </w:rPr>
        <w:t xml:space="preserve">CURRENT STATE SNAPSHOT</w:t>
      </w:r>
    </w:p>
    <w:p>
      <w:pPr>
        <w:spacing w:after="80" w:before="60"/>
      </w:pPr>
      <w:r>
        <w:rPr>
          <w:rFonts w:ascii="Arial" w:cs="Arial" w:eastAsia="Arial" w:hAnsi="Arial"/>
          <w:color w:val="2C2C2C"/>
          <w:sz w:val="22"/>
          <w:szCs w:val="22"/>
        </w:rPr>
        <w:t xml:space="preserve">The following assessment is derived from the weekly SMM review meeting held on June 12, 2026 and reflects the present operational and marketing posture of TX Sparks Luxury Homes: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560"/>
        <w:gridCol w:w="1600"/>
      </w:tblGrid>
      <w:tr>
        <w:tc>
          <w:tcPr>
            <w:tcW w:type="dxa" w:w="3200"/>
            <w:tcBorders>
              <w:top w:val="single" w:color="888888" w:sz="1"/>
              <w:left w:val="single" w:color="888888" w:sz="1"/>
              <w:bottom w:val="single" w:color="888888" w:sz="1"/>
              <w:right w:val="single" w:color="888888" w:sz="1"/>
            </w:tcBorders>
            <w:shd w:fill="1A1A2E" w:val="clear"/>
            <w:tcMar>
              <w:top w:type="dxa" w:w="100"/>
              <w:left w:type="dxa" w:w="140"/>
              <w:bottom w:type="dxa" w:w="100"/>
              <w:right w:type="dxa" w:w="120"/>
            </w:tcMar>
          </w:tcPr>
          <w:p>
            <w:r>
              <w:rPr>
                <w:rFonts w:ascii="Arial" w:cs="Arial" w:eastAsia="Arial" w:hAnsi="Arial"/>
                <w:b/>
                <w:bCs/>
                <w:color w:val="FFFFFF"/>
                <w:sz w:val="21"/>
                <w:szCs w:val="21"/>
              </w:rPr>
              <w:t xml:space="preserve">Issue Area</w:t>
            </w:r>
          </w:p>
        </w:tc>
        <w:tc>
          <w:tcPr>
            <w:tcW w:type="dxa" w:w="4560"/>
            <w:tcBorders>
              <w:top w:val="single" w:color="888888" w:sz="1"/>
              <w:left w:val="single" w:color="888888" w:sz="1"/>
              <w:bottom w:val="single" w:color="888888" w:sz="1"/>
              <w:right w:val="single" w:color="888888" w:sz="1"/>
            </w:tcBorders>
            <w:shd w:fill="1A1A2E" w:val="clear"/>
            <w:tcMar>
              <w:top w:type="dxa" w:w="100"/>
              <w:left w:type="dxa" w:w="140"/>
              <w:bottom w:type="dxa" w:w="100"/>
              <w:right w:type="dxa" w:w="120"/>
            </w:tcMar>
          </w:tcPr>
          <w:p>
            <w:r>
              <w:rPr>
                <w:rFonts w:ascii="Arial" w:cs="Arial" w:eastAsia="Arial" w:hAnsi="Arial"/>
                <w:b/>
                <w:bCs/>
                <w:color w:val="FFFFFF"/>
                <w:sz w:val="21"/>
                <w:szCs w:val="21"/>
              </w:rPr>
              <w:t xml:space="preserve">Current Status</w:t>
            </w:r>
          </w:p>
        </w:tc>
        <w:tc>
          <w:tcPr>
            <w:tcW w:type="dxa" w:w="1600"/>
            <w:tcBorders>
              <w:top w:val="single" w:color="888888" w:sz="1"/>
              <w:left w:val="single" w:color="888888" w:sz="1"/>
              <w:bottom w:val="single" w:color="888888" w:sz="1"/>
              <w:right w:val="single" w:color="888888" w:sz="1"/>
            </w:tcBorders>
            <w:shd w:fill="1A1A2E" w:val="clear"/>
            <w:tcMar>
              <w:top w:type="dxa" w:w="100"/>
              <w:left w:type="dxa" w:w="140"/>
              <w:bottom w:type="dxa" w:w="100"/>
              <w:right w:type="dxa" w:w="120"/>
            </w:tcMar>
          </w:tcPr>
          <w:p>
            <w:r>
              <w:rPr>
                <w:rFonts w:ascii="Arial" w:cs="Arial" w:eastAsia="Arial" w:hAnsi="Arial"/>
                <w:b/>
                <w:bCs/>
                <w:color w:val="FFFFFF"/>
                <w:sz w:val="21"/>
                <w:szCs w:val="21"/>
              </w:rPr>
              <w:t xml:space="preserve">Priority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20"/>
            </w:tcMar>
          </w:tcPr>
          <w:p>
            <w:r>
              <w:rPr>
                <w:rFonts w:ascii="Arial" w:cs="Arial" w:eastAsia="Arial" w:hAnsi="Arial"/>
                <w:b/>
                <w:bCs/>
                <w:color w:val="1A1A2E"/>
                <w:sz w:val="20"/>
                <w:szCs w:val="20"/>
              </w:rPr>
              <w:t xml:space="preserve">Contract Pipeline (Austin Market)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20"/>
            </w:tcMar>
          </w:tcPr>
          <w:p>
            <w:r>
              <w:rPr>
                <w:rFonts w:ascii="Arial" w:cs="Arial" w:eastAsia="Arial" w:hAnsi="Arial"/>
                <w:color w:val="2C2C2C"/>
                <w:sz w:val="20"/>
                <w:szCs w:val="20"/>
              </w:rPr>
              <w:t xml:space="preserve">One completed project — no active pipeline secured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20"/>
            </w:tcMar>
          </w:tcPr>
          <w:p>
            <w:pPr>
              <w:jc w:val="center"/>
            </w:pPr>
            <w:r>
              <w:rPr>
                <w:rFonts w:ascii="Arial" w:cs="Arial" w:eastAsia="Arial" w:hAnsi="Arial"/>
                <w:b/>
                <w:bCs/>
                <w:color w:val="C0392B"/>
                <w:sz w:val="18"/>
                <w:szCs w:val="18"/>
              </w:rPr>
              <w:t xml:space="preserve">CRITICAL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b/>
                <w:bCs/>
                <w:color w:val="1A1A2E"/>
                <w:sz w:val="20"/>
                <w:szCs w:val="20"/>
              </w:rPr>
              <w:t xml:space="preserve">Paid Marketing / Advertising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C2C2C"/>
                <w:sz w:val="20"/>
                <w:szCs w:val="20"/>
              </w:rPr>
              <w:t xml:space="preserve">Not running — organic only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jc w:val="center"/>
            </w:pPr>
            <w:r>
              <w:rPr>
                <w:rFonts w:ascii="Arial" w:cs="Arial" w:eastAsia="Arial" w:hAnsi="Arial"/>
                <w:b/>
                <w:bCs/>
                <w:color w:val="C0392B"/>
                <w:sz w:val="18"/>
                <w:szCs w:val="18"/>
              </w:rPr>
              <w:t xml:space="preserve">CRITICAL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20"/>
            </w:tcMar>
          </w:tcPr>
          <w:p>
            <w:r>
              <w:rPr>
                <w:rFonts w:ascii="Arial" w:cs="Arial" w:eastAsia="Arial" w:hAnsi="Arial"/>
                <w:b/>
                <w:bCs/>
                <w:color w:val="1A1A2E"/>
                <w:sz w:val="20"/>
                <w:szCs w:val="20"/>
              </w:rPr>
              <w:t xml:space="preserve">Lead Generation from Social Media</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20"/>
            </w:tcMar>
          </w:tcPr>
          <w:p>
            <w:r>
              <w:rPr>
                <w:rFonts w:ascii="Arial" w:cs="Arial" w:eastAsia="Arial" w:hAnsi="Arial"/>
                <w:color w:val="2C2C2C"/>
                <w:sz w:val="20"/>
                <w:szCs w:val="20"/>
              </w:rPr>
              <w:t xml:space="preserve">Approximately zero inquiries received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20"/>
            </w:tcMar>
          </w:tcPr>
          <w:p>
            <w:pPr>
              <w:jc w:val="center"/>
            </w:pPr>
            <w:r>
              <w:rPr>
                <w:rFonts w:ascii="Arial" w:cs="Arial" w:eastAsia="Arial" w:hAnsi="Arial"/>
                <w:b/>
                <w:bCs/>
                <w:color w:val="C0392B"/>
                <w:sz w:val="18"/>
                <w:szCs w:val="18"/>
              </w:rPr>
              <w:t xml:space="preserve">CRITICAL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b/>
                <w:bCs/>
                <w:color w:val="1A1A2E"/>
                <w:sz w:val="20"/>
                <w:szCs w:val="20"/>
              </w:rPr>
              <w:t xml:space="preserve">Cold Outreach to Real Estate Agents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C2C2C"/>
                <w:sz w:val="20"/>
                <w:szCs w:val="20"/>
              </w:rPr>
              <w:t xml:space="preserve">No dedicated person or system in place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jc w:val="center"/>
            </w:pPr>
            <w:r>
              <w:rPr>
                <w:rFonts w:ascii="Arial" w:cs="Arial" w:eastAsia="Arial" w:hAnsi="Arial"/>
                <w:b/>
                <w:bCs/>
                <w:color w:val="C0392B"/>
                <w:sz w:val="18"/>
                <w:szCs w:val="18"/>
              </w:rPr>
              <w:t xml:space="preserve">CRITICAL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20"/>
            </w:tcMar>
          </w:tcPr>
          <w:p>
            <w:r>
              <w:rPr>
                <w:rFonts w:ascii="Arial" w:cs="Arial" w:eastAsia="Arial" w:hAnsi="Arial"/>
                <w:b/>
                <w:bCs/>
                <w:color w:val="1A1A2E"/>
                <w:sz w:val="20"/>
                <w:szCs w:val="20"/>
              </w:rPr>
              <w:t xml:space="preserve">HNI Networking &amp; Partnerships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20"/>
            </w:tcMar>
          </w:tcPr>
          <w:p>
            <w:r>
              <w:rPr>
                <w:rFonts w:ascii="Arial" w:cs="Arial" w:eastAsia="Arial" w:hAnsi="Arial"/>
                <w:color w:val="2C2C2C"/>
                <w:sz w:val="20"/>
                <w:szCs w:val="20"/>
              </w:rPr>
              <w:t xml:space="preserve">Not formalized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20"/>
            </w:tcMar>
          </w:tcPr>
          <w:p>
            <w:pPr>
              <w:jc w:val="center"/>
            </w:pPr>
            <w:r>
              <w:rPr>
                <w:rFonts w:ascii="Arial" w:cs="Arial" w:eastAsia="Arial" w:hAnsi="Arial"/>
                <w:b/>
                <w:bCs/>
                <w:color w:val="E67E22"/>
                <w:sz w:val="18"/>
                <w:szCs w:val="18"/>
              </w:rPr>
              <w:t xml:space="preserve">HIGH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b/>
                <w:bCs/>
                <w:color w:val="1A1A2E"/>
                <w:sz w:val="20"/>
                <w:szCs w:val="20"/>
              </w:rPr>
              <w:t xml:space="preserve">Preferred Builder Status (Subdivisions)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C2C2C"/>
                <w:sz w:val="20"/>
                <w:szCs w:val="20"/>
              </w:rPr>
              <w:t xml:space="preserve">Not yet pursued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jc w:val="center"/>
            </w:pPr>
            <w:r>
              <w:rPr>
                <w:rFonts w:ascii="Arial" w:cs="Arial" w:eastAsia="Arial" w:hAnsi="Arial"/>
                <w:b/>
                <w:bCs/>
                <w:color w:val="E67E22"/>
                <w:sz w:val="18"/>
                <w:szCs w:val="18"/>
              </w:rPr>
              <w:t xml:space="preserve">HIGH</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20"/>
            </w:tcMar>
          </w:tcPr>
          <w:p>
            <w:r>
              <w:rPr>
                <w:rFonts w:ascii="Arial" w:cs="Arial" w:eastAsia="Arial" w:hAnsi="Arial"/>
                <w:b/>
                <w:bCs/>
                <w:color w:val="1A1A2E"/>
                <w:sz w:val="20"/>
                <w:szCs w:val="20"/>
              </w:rPr>
              <w:t xml:space="preserve">LGS &amp; Steel USP Communication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20"/>
            </w:tcMar>
          </w:tcPr>
          <w:p>
            <w:r>
              <w:rPr>
                <w:rFonts w:ascii="Arial" w:cs="Arial" w:eastAsia="Arial" w:hAnsi="Arial"/>
                <w:color w:val="2C2C2C"/>
                <w:sz w:val="20"/>
                <w:szCs w:val="20"/>
              </w:rPr>
              <w:t xml:space="preserve">Inconsistently highlighted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20"/>
            </w:tcMar>
          </w:tcPr>
          <w:p>
            <w:pPr>
              <w:jc w:val="center"/>
            </w:pPr>
            <w:r>
              <w:rPr>
                <w:rFonts w:ascii="Arial" w:cs="Arial" w:eastAsia="Arial" w:hAnsi="Arial"/>
                <w:b/>
                <w:bCs/>
                <w:color w:val="E67E22"/>
                <w:sz w:val="18"/>
                <w:szCs w:val="18"/>
              </w:rPr>
              <w:t xml:space="preserve">HIGH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b/>
                <w:bCs/>
                <w:color w:val="1A1A2E"/>
                <w:sz w:val="20"/>
                <w:szCs w:val="20"/>
              </w:rPr>
              <w:t xml:space="preserve">Website Optimization &amp; SEO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C2C2C"/>
                <w:sz w:val="20"/>
                <w:szCs w:val="20"/>
              </w:rPr>
              <w:t xml:space="preserve">Needs significant improvement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jc w:val="center"/>
            </w:pPr>
            <w:r>
              <w:rPr>
                <w:rFonts w:ascii="Arial" w:cs="Arial" w:eastAsia="Arial" w:hAnsi="Arial"/>
                <w:b/>
                <w:bCs/>
                <w:color w:val="E67E22"/>
                <w:sz w:val="18"/>
                <w:szCs w:val="18"/>
              </w:rPr>
              <w:t xml:space="preserve">HIGH</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20"/>
            </w:tcMar>
          </w:tcPr>
          <w:p>
            <w:r>
              <w:rPr>
                <w:rFonts w:ascii="Arial" w:cs="Arial" w:eastAsia="Arial" w:hAnsi="Arial"/>
                <w:b/>
                <w:bCs/>
                <w:color w:val="1A1A2E"/>
                <w:sz w:val="20"/>
                <w:szCs w:val="20"/>
              </w:rPr>
              <w:t xml:space="preserve">Case Studies Published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20"/>
            </w:tcMar>
          </w:tcPr>
          <w:p>
            <w:r>
              <w:rPr>
                <w:rFonts w:ascii="Arial" w:cs="Arial" w:eastAsia="Arial" w:hAnsi="Arial"/>
                <w:color w:val="2C2C2C"/>
                <w:sz w:val="20"/>
                <w:szCs w:val="20"/>
              </w:rPr>
              <w:t xml:space="preserve">First case study planned for June 18, 2026</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20"/>
            </w:tcMar>
          </w:tcPr>
          <w:p>
            <w:pPr>
              <w:jc w:val="center"/>
            </w:pPr>
            <w:r>
              <w:rPr>
                <w:rFonts w:ascii="Arial" w:cs="Arial" w:eastAsia="Arial" w:hAnsi="Arial"/>
                <w:b/>
                <w:bCs/>
                <w:color w:val="2E7D32"/>
                <w:sz w:val="18"/>
                <w:szCs w:val="18"/>
              </w:rPr>
              <w:t xml:space="preserve">MEDIUM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b/>
                <w:bCs/>
                <w:color w:val="1A1A2E"/>
                <w:sz w:val="20"/>
                <w:szCs w:val="20"/>
              </w:rPr>
              <w:t xml:space="preserve">Project Showcasing (Social Media)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C2C2C"/>
                <w:sz w:val="20"/>
                <w:szCs w:val="20"/>
              </w:rPr>
              <w:t xml:space="preserve">Active and consistent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jc w:val="center"/>
            </w:pPr>
            <w:r>
              <w:rPr>
                <w:rFonts w:ascii="Arial" w:cs="Arial" w:eastAsia="Arial" w:hAnsi="Arial"/>
                <w:b/>
                <w:bCs/>
                <w:color w:val="2E7D32"/>
                <w:sz w:val="18"/>
                <w:szCs w:val="18"/>
              </w:rPr>
              <w:t xml:space="preserve">GOOD</w:t>
            </w:r>
          </w:p>
        </w:tc>
      </w:tr>
    </w:tbl>
    <w:p>
      <w:r>
        <w:br w:type="page"/>
      </w:r>
    </w:p>
    <w:p>
      <w:pPr>
        <w:pStyle w:val="Heading1"/>
        <w:pBdr>
          <w:bottom w:val="single" w:color="B8860B" w:sz="6" w:space="4"/>
        </w:pBdr>
        <w:spacing w:after="200" w:before="400"/>
      </w:pPr>
      <w:r>
        <w:rPr>
          <w:rFonts w:ascii="Arial" w:cs="Arial" w:eastAsia="Arial" w:hAnsi="Arial"/>
          <w:b/>
          <w:bCs/>
          <w:color w:val="1A1A2E"/>
          <w:sz w:val="32"/>
          <w:szCs w:val="32"/>
        </w:rPr>
        <w:t xml:space="preserve">CHALLENGE 01: SECURING NEW LUXURY HOME CONTRACTS IN AUSTIN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B8860B" w:val="clear"/>
            <w:tcMar>
              <w:top w:type="dxa" w:w="100"/>
              <w:left w:type="dxa" w:w="140"/>
              <w:bottom w:type="dxa" w:w="100"/>
              <w:right w:type="dxa" w:w="140"/>
            </w:tcMar>
            <w:vAlign w:val="center"/>
          </w:tcPr>
          <w:p>
            <w:pPr>
              <w:jc w:val="center"/>
            </w:pPr>
            <w:r>
              <w:rPr>
                <w:rFonts w:ascii="Arial" w:cs="Arial" w:eastAsia="Arial" w:hAnsi="Arial"/>
                <w:b/>
                <w:bCs/>
                <w:color w:val="FFFFFF"/>
                <w:sz w:val="32"/>
                <w:szCs w:val="32"/>
              </w:rPr>
              <w:t xml:space="preserve">01</w:t>
            </w:r>
          </w:p>
        </w:tc>
        <w:tc>
          <w:tcPr>
            <w:tcW w:type="dxa" w:w="8660"/>
            <w:tcBorders>
              <w:top w:val="none" w:color="FFFFFF" w:sz="0"/>
              <w:left w:val="none" w:color="FFFFFF" w:sz="0"/>
              <w:bottom w:val="none" w:color="FFFFFF" w:sz="0"/>
              <w:right w:val="none" w:color="FFFFFF" w:sz="0"/>
            </w:tcBorders>
            <w:shd w:fill="1A1A2E" w:val="clear"/>
            <w:tcMar>
              <w:top w:type="dxa" w:w="100"/>
              <w:left w:type="dxa" w:w="200"/>
              <w:bottom w:type="dxa" w:w="100"/>
              <w:right w:type="dxa" w:w="140"/>
            </w:tcMar>
          </w:tcPr>
          <w:p>
            <w:r>
              <w:rPr>
                <w:rFonts w:ascii="Arial" w:cs="Arial" w:eastAsia="Arial" w:hAnsi="Arial"/>
                <w:b/>
                <w:bCs/>
                <w:color w:val="FFFFFF"/>
                <w:sz w:val="26"/>
                <w:szCs w:val="26"/>
              </w:rPr>
              <w:t xml:space="preserve">Failure to Convert Market Presence into New Contracts</w:t>
            </w:r>
          </w:p>
          <w:p>
            <w:r>
              <w:rPr>
                <w:rFonts w:ascii="Arial" w:cs="Arial" w:eastAsia="Arial" w:hAnsi="Arial"/>
                <w:i/>
                <w:iCs/>
                <w:color w:val="BBBBCC"/>
                <w:sz w:val="20"/>
                <w:szCs w:val="20"/>
              </w:rPr>
              <w:t xml:space="preserve">Austin Metro luxury home pipeline remains empty despite completed project success</w:t>
            </w:r>
          </w:p>
        </w:tc>
      </w:tr>
    </w:tbl>
    <w:p>
      <w:pPr>
        <w:spacing w:after="0" w:before="140"/>
      </w:pPr>
      <w:r>
        <w:t xml:space="preserve"/>
      </w:r>
    </w:p>
    <w:p>
      <w:pPr>
        <w:spacing w:after="80" w:before="280"/>
      </w:pPr>
      <w:r>
        <w:rPr>
          <w:rFonts w:ascii="Arial" w:cs="Arial" w:eastAsia="Arial" w:hAnsi="Arial"/>
          <w:b/>
          <w:bCs/>
          <w:color w:val="FFFFFF"/>
          <w:sz w:val="20"/>
          <w:szCs w:val="20"/>
          <w:shd w:fill="B8860B" w:val="clear"/>
        </w:rPr>
        <w:t xml:space="preserve">  THE PROBLEM  </w:t>
      </w:r>
    </w:p>
    <w:p>
      <w:pPr>
        <w:spacing w:after="80" w:before="60"/>
      </w:pPr>
      <w:r>
        <w:rPr>
          <w:rFonts w:ascii="Arial" w:cs="Arial" w:eastAsia="Arial" w:hAnsi="Arial"/>
          <w:color w:val="2C2C2C"/>
          <w:sz w:val="22"/>
          <w:szCs w:val="22"/>
        </w:rPr>
        <w:t xml:space="preserve">Despite successfully completing a high-quality custom luxury home project in Austin, TX Sparks Luxury Homes has not yet secured a second build contract in the Austin market or surrounding areas. The completed project — while demonstrating world-class capability — has not been systematically leveraged as a business development asset. The Austin luxury real estate market is active and growing, yet TX Sparks remains largely invisible to the buyers, developers, and real estate agents who drive build decisions.</w:t>
      </w:r>
    </w:p>
    <w:p>
      <w:pPr>
        <w:spacing w:after="0" w:before="80"/>
      </w:pPr>
      <w:r>
        <w:t xml:space="preserve"/>
      </w:r>
    </w:p>
    <w:p>
      <w:pPr>
        <w:spacing w:after="80" w:before="60"/>
      </w:pPr>
      <w:r>
        <w:rPr>
          <w:rFonts w:ascii="Arial" w:cs="Arial" w:eastAsia="Arial" w:hAnsi="Arial"/>
          <w:color w:val="2C2C2C"/>
          <w:sz w:val="22"/>
          <w:szCs w:val="22"/>
        </w:rPr>
        <w:t xml:space="preserve">The core issue is a lack of an active, structured business development strategy. The completed project serves as a powerful proof point but has not been packaged into a case study, a portfolio presentation, or a referral-generation system. The result is a brand with genuine capability but inadequate market visibility.</w:t>
      </w:r>
    </w:p>
    <w:p>
      <w:pPr>
        <w:spacing w:after="0" w:before="140"/>
      </w:pPr>
      <w:r>
        <w:t xml:space="preserve"/>
      </w:r>
    </w:p>
    <w:p>
      <w:pPr>
        <w:spacing w:after="80" w:before="280"/>
      </w:pPr>
      <w:r>
        <w:rPr>
          <w:rFonts w:ascii="Arial" w:cs="Arial" w:eastAsia="Arial" w:hAnsi="Arial"/>
          <w:b/>
          <w:bCs/>
          <w:color w:val="FFFFFF"/>
          <w:sz w:val="20"/>
          <w:szCs w:val="20"/>
          <w:shd w:fill="B8860B" w:val="clear"/>
        </w:rPr>
        <w:t xml:space="preserve">  SOLUTIONS &amp; ACTION PLAN  </w:t>
      </w:r>
    </w:p>
    <w:p>
      <w:pPr>
        <w:spacing w:after="0" w:before="80"/>
      </w:pPr>
      <w:r>
        <w:t xml:space="preserve"/>
      </w:r>
    </w:p>
    <w:p>
      <w:pPr>
        <w:spacing w:after="80" w:before="240"/>
      </w:pPr>
      <w:r>
        <w:rPr>
          <w:rFonts w:ascii="Arial" w:cs="Arial" w:eastAsia="Arial" w:hAnsi="Arial"/>
          <w:b/>
          <w:bCs/>
          <w:color w:val="4A4A6A"/>
          <w:sz w:val="22"/>
          <w:szCs w:val="22"/>
        </w:rPr>
        <w:t xml:space="preserve">1.1  Leverage the Completed Project as a Lead Generation Asset</w:t>
      </w:r>
    </w:p>
    <w:p>
      <w:pPr>
        <w:pStyle w:val="ListParagraph"/>
        <w:numPr>
          <w:ilvl w:val="0"/>
          <w:numId w:val="2"/>
        </w:numPr>
        <w:spacing w:after="60" w:before="60"/>
      </w:pPr>
      <w:r>
        <w:rPr>
          <w:rFonts w:ascii="Arial" w:cs="Arial" w:eastAsia="Arial" w:hAnsi="Arial"/>
          <w:b w:val="false"/>
          <w:bCs w:val="false"/>
          <w:color w:val="2C2C2C"/>
          <w:sz w:val="22"/>
          <w:szCs w:val="22"/>
        </w:rPr>
        <w:t xml:space="preserve">Commission a professional photoshoot and drone video of the completed Austin home immediately</w:t>
      </w:r>
    </w:p>
    <w:p>
      <w:pPr>
        <w:pStyle w:val="ListParagraph"/>
        <w:numPr>
          <w:ilvl w:val="0"/>
          <w:numId w:val="2"/>
        </w:numPr>
        <w:spacing w:after="60" w:before="60"/>
      </w:pPr>
      <w:r>
        <w:rPr>
          <w:rFonts w:ascii="Arial" w:cs="Arial" w:eastAsia="Arial" w:hAnsi="Arial"/>
          <w:b w:val="false"/>
          <w:bCs w:val="false"/>
          <w:color w:val="2C2C2C"/>
          <w:sz w:val="22"/>
          <w:szCs w:val="22"/>
        </w:rPr>
        <w:t xml:space="preserve">Develop a 4-6 page branded project portfolio PDF to share with real estate agents, developers, and HNI prospects</w:t>
      </w:r>
    </w:p>
    <w:p>
      <w:pPr>
        <w:pStyle w:val="ListParagraph"/>
        <w:numPr>
          <w:ilvl w:val="0"/>
          <w:numId w:val="2"/>
        </w:numPr>
        <w:spacing w:after="60" w:before="60"/>
      </w:pPr>
      <w:r>
        <w:rPr>
          <w:rFonts w:ascii="Arial" w:cs="Arial" w:eastAsia="Arial" w:hAnsi="Arial"/>
          <w:b w:val="false"/>
          <w:bCs w:val="false"/>
          <w:color w:val="2C2C2C"/>
          <w:sz w:val="22"/>
          <w:szCs w:val="22"/>
        </w:rPr>
        <w:t xml:space="preserve">Publish a detailed case study: problem → design → build → result, featuring cost savings, timeline, and steel construction advantages</w:t>
      </w:r>
    </w:p>
    <w:p>
      <w:pPr>
        <w:pStyle w:val="ListParagraph"/>
        <w:numPr>
          <w:ilvl w:val="0"/>
          <w:numId w:val="2"/>
        </w:numPr>
        <w:spacing w:after="60" w:before="60"/>
      </w:pPr>
      <w:r>
        <w:rPr>
          <w:rFonts w:ascii="Arial" w:cs="Arial" w:eastAsia="Arial" w:hAnsi="Arial"/>
          <w:b w:val="false"/>
          <w:bCs w:val="false"/>
          <w:color w:val="2C2C2C"/>
          <w:sz w:val="22"/>
          <w:szCs w:val="22"/>
        </w:rPr>
        <w:t xml:space="preserve">Submit the project to luxury home awards, Texas Builder Association recognitions, and architectural publications</w:t>
      </w:r>
    </w:p>
    <w:p>
      <w:pPr>
        <w:spacing w:after="0" w:before="80"/>
      </w:pPr>
      <w:r>
        <w:t xml:space="preserve"/>
      </w:r>
    </w:p>
    <w:p>
      <w:pPr>
        <w:spacing w:after="80" w:before="240"/>
      </w:pPr>
      <w:r>
        <w:rPr>
          <w:rFonts w:ascii="Arial" w:cs="Arial" w:eastAsia="Arial" w:hAnsi="Arial"/>
          <w:b/>
          <w:bCs/>
          <w:color w:val="4A4A6A"/>
          <w:sz w:val="22"/>
          <w:szCs w:val="22"/>
        </w:rPr>
        <w:t xml:space="preserve">1.2  Activate Business Development Outreach</w:t>
      </w:r>
    </w:p>
    <w:p>
      <w:pPr>
        <w:pStyle w:val="ListParagraph"/>
        <w:numPr>
          <w:ilvl w:val="0"/>
          <w:numId w:val="2"/>
        </w:numPr>
        <w:spacing w:after="60" w:before="60"/>
      </w:pPr>
      <w:r>
        <w:rPr>
          <w:rFonts w:ascii="Arial" w:cs="Arial" w:eastAsia="Arial" w:hAnsi="Arial"/>
          <w:b w:val="false"/>
          <w:bCs w:val="false"/>
          <w:color w:val="2C2C2C"/>
          <w:sz w:val="22"/>
          <w:szCs w:val="22"/>
        </w:rPr>
        <w:t xml:space="preserve">Assign a dedicated Business Development Manager or Cold Outreach Specialist with the Austin luxury market as the primary target</w:t>
      </w:r>
    </w:p>
    <w:p>
      <w:pPr>
        <w:pStyle w:val="ListParagraph"/>
        <w:numPr>
          <w:ilvl w:val="0"/>
          <w:numId w:val="2"/>
        </w:numPr>
        <w:spacing w:after="60" w:before="60"/>
      </w:pPr>
      <w:r>
        <w:rPr>
          <w:rFonts w:ascii="Arial" w:cs="Arial" w:eastAsia="Arial" w:hAnsi="Arial"/>
          <w:b w:val="false"/>
          <w:bCs w:val="false"/>
          <w:color w:val="2C2C2C"/>
          <w:sz w:val="22"/>
          <w:szCs w:val="22"/>
        </w:rPr>
        <w:t xml:space="preserve">Build a database of 200+ real estate agents, luxury property developers, and land investors in Austin, Westlake, Lakeway, and Lake Travis</w:t>
      </w:r>
    </w:p>
    <w:p>
      <w:pPr>
        <w:pStyle w:val="ListParagraph"/>
        <w:numPr>
          <w:ilvl w:val="0"/>
          <w:numId w:val="2"/>
        </w:numPr>
        <w:spacing w:after="60" w:before="60"/>
      </w:pPr>
      <w:r>
        <w:rPr>
          <w:rFonts w:ascii="Arial" w:cs="Arial" w:eastAsia="Arial" w:hAnsi="Arial"/>
          <w:b w:val="false"/>
          <w:bCs w:val="false"/>
          <w:color w:val="2C2C2C"/>
          <w:sz w:val="22"/>
          <w:szCs w:val="22"/>
        </w:rPr>
        <w:t xml:space="preserve">Initiate personalized outreach campaigns — email sequences, LinkedIn messages, and phone follow-ups — using the completed project as the conversation opener</w:t>
      </w:r>
    </w:p>
    <w:p>
      <w:pPr>
        <w:pStyle w:val="ListParagraph"/>
        <w:numPr>
          <w:ilvl w:val="0"/>
          <w:numId w:val="2"/>
        </w:numPr>
        <w:spacing w:after="60" w:before="60"/>
      </w:pPr>
      <w:r>
        <w:rPr>
          <w:rFonts w:ascii="Arial" w:cs="Arial" w:eastAsia="Arial" w:hAnsi="Arial"/>
          <w:b w:val="false"/>
          <w:bCs w:val="false"/>
          <w:color w:val="2C2C2C"/>
          <w:sz w:val="22"/>
          <w:szCs w:val="22"/>
        </w:rPr>
        <w:t xml:space="preserve">Set a target of 50 outreach contacts per week and 5 qualified meetings per month in the first 90 days</w:t>
      </w:r>
    </w:p>
    <w:p>
      <w:pPr>
        <w:spacing w:after="0" w:before="80"/>
      </w:pPr>
      <w:r>
        <w:t xml:space="preserve"/>
      </w:r>
    </w:p>
    <w:p>
      <w:pPr>
        <w:spacing w:after="80" w:before="240"/>
      </w:pPr>
      <w:r>
        <w:rPr>
          <w:rFonts w:ascii="Arial" w:cs="Arial" w:eastAsia="Arial" w:hAnsi="Arial"/>
          <w:b/>
          <w:bCs/>
          <w:color w:val="4A4A6A"/>
          <w:sz w:val="22"/>
          <w:szCs w:val="22"/>
        </w:rPr>
        <w:t xml:space="preserve">1.3  Targeted Paid Advertising Campaigns</w:t>
      </w:r>
    </w:p>
    <w:p>
      <w:pPr>
        <w:pStyle w:val="ListParagraph"/>
        <w:numPr>
          <w:ilvl w:val="0"/>
          <w:numId w:val="2"/>
        </w:numPr>
        <w:spacing w:after="60" w:before="60"/>
      </w:pPr>
      <w:r>
        <w:rPr>
          <w:rFonts w:ascii="Arial" w:cs="Arial" w:eastAsia="Arial" w:hAnsi="Arial"/>
          <w:b w:val="false"/>
          <w:bCs w:val="false"/>
          <w:color w:val="2C2C2C"/>
          <w:sz w:val="22"/>
          <w:szCs w:val="22"/>
        </w:rPr>
        <w:t xml:space="preserve">Launch geo-targeted Meta (Facebook/Instagram) and Google Display ads in Austin Metro ZIP codes with household income above $350K</w:t>
      </w:r>
    </w:p>
    <w:p>
      <w:pPr>
        <w:pStyle w:val="ListParagraph"/>
        <w:numPr>
          <w:ilvl w:val="0"/>
          <w:numId w:val="2"/>
        </w:numPr>
        <w:spacing w:after="60" w:before="60"/>
      </w:pPr>
      <w:r>
        <w:rPr>
          <w:rFonts w:ascii="Arial" w:cs="Arial" w:eastAsia="Arial" w:hAnsi="Arial"/>
          <w:b w:val="false"/>
          <w:bCs w:val="false"/>
          <w:color w:val="2C2C2C"/>
          <w:sz w:val="22"/>
          <w:szCs w:val="22"/>
        </w:rPr>
        <w:t xml:space="preserve">Run LinkedIn Sponsored Content targeting real estate developers, investors, and architects in Austin</w:t>
      </w:r>
    </w:p>
    <w:p>
      <w:pPr>
        <w:pStyle w:val="ListParagraph"/>
        <w:numPr>
          <w:ilvl w:val="0"/>
          <w:numId w:val="2"/>
        </w:numPr>
        <w:spacing w:after="60" w:before="60"/>
      </w:pPr>
      <w:r>
        <w:rPr>
          <w:rFonts w:ascii="Arial" w:cs="Arial" w:eastAsia="Arial" w:hAnsi="Arial"/>
          <w:b w:val="false"/>
          <w:bCs w:val="false"/>
          <w:color w:val="2C2C2C"/>
          <w:sz w:val="22"/>
          <w:szCs w:val="22"/>
        </w:rPr>
        <w:t xml:space="preserve">Create retargeting campaigns for website visitors and social media engagers to maintain top-of-mind awareness</w:t>
      </w:r>
    </w:p>
    <w:p>
      <w:r>
        <w:br w:type="page"/>
      </w:r>
    </w:p>
    <w:p>
      <w:pPr>
        <w:pStyle w:val="Heading1"/>
        <w:pBdr>
          <w:bottom w:val="single" w:color="B8860B" w:sz="6" w:space="4"/>
        </w:pBdr>
        <w:spacing w:after="200" w:before="400"/>
      </w:pPr>
      <w:r>
        <w:rPr>
          <w:rFonts w:ascii="Arial" w:cs="Arial" w:eastAsia="Arial" w:hAnsi="Arial"/>
          <w:b/>
          <w:bCs/>
          <w:color w:val="1A1A2E"/>
          <w:sz w:val="32"/>
          <w:szCs w:val="32"/>
        </w:rPr>
        <w:t xml:space="preserve">CHALLENGE 02: MARKETING &amp; SELLING TO THE RIGHT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B8860B" w:val="clear"/>
            <w:tcMar>
              <w:top w:type="dxa" w:w="100"/>
              <w:left w:type="dxa" w:w="140"/>
              <w:bottom w:type="dxa" w:w="100"/>
              <w:right w:type="dxa" w:w="140"/>
            </w:tcMar>
            <w:vAlign w:val="center"/>
          </w:tcPr>
          <w:p>
            <w:pPr>
              <w:jc w:val="center"/>
            </w:pPr>
            <w:r>
              <w:rPr>
                <w:rFonts w:ascii="Arial" w:cs="Arial" w:eastAsia="Arial" w:hAnsi="Arial"/>
                <w:b/>
                <w:bCs/>
                <w:color w:val="FFFFFF"/>
                <w:sz w:val="32"/>
                <w:szCs w:val="32"/>
              </w:rPr>
              <w:t xml:space="preserve">02</w:t>
            </w:r>
          </w:p>
        </w:tc>
        <w:tc>
          <w:tcPr>
            <w:tcW w:type="dxa" w:w="8660"/>
            <w:tcBorders>
              <w:top w:val="none" w:color="FFFFFF" w:sz="0"/>
              <w:left w:val="none" w:color="FFFFFF" w:sz="0"/>
              <w:bottom w:val="none" w:color="FFFFFF" w:sz="0"/>
              <w:right w:val="none" w:color="FFFFFF" w:sz="0"/>
            </w:tcBorders>
            <w:shd w:fill="1A1A2E" w:val="clear"/>
            <w:tcMar>
              <w:top w:type="dxa" w:w="100"/>
              <w:left w:type="dxa" w:w="200"/>
              <w:bottom w:type="dxa" w:w="100"/>
              <w:right w:type="dxa" w:w="140"/>
            </w:tcMar>
          </w:tcPr>
          <w:p>
            <w:r>
              <w:rPr>
                <w:rFonts w:ascii="Arial" w:cs="Arial" w:eastAsia="Arial" w:hAnsi="Arial"/>
                <w:b/>
                <w:bCs/>
                <w:color w:val="FFFFFF"/>
                <w:sz w:val="26"/>
                <w:szCs w:val="26"/>
              </w:rPr>
              <w:t xml:space="preserve">Absence of Targeted Paid Marketing &amp; Structured Brand Campaigns</w:t>
            </w:r>
          </w:p>
          <w:p>
            <w:r>
              <w:rPr>
                <w:rFonts w:ascii="Arial" w:cs="Arial" w:eastAsia="Arial" w:hAnsi="Arial"/>
                <w:i/>
                <w:iCs/>
                <w:color w:val="BBBBCC"/>
                <w:sz w:val="20"/>
                <w:szCs w:val="20"/>
              </w:rPr>
              <w:t xml:space="preserve">Current organic-only strategy reaches less than 5% of existing followers — HNIs remain unreached</w:t>
            </w:r>
          </w:p>
        </w:tc>
      </w:tr>
    </w:tbl>
    <w:p>
      <w:pPr>
        <w:spacing w:after="0" w:before="140"/>
      </w:pPr>
      <w:r>
        <w:t xml:space="preserve"/>
      </w:r>
    </w:p>
    <w:p>
      <w:pPr>
        <w:spacing w:after="80" w:before="280"/>
      </w:pPr>
      <w:r>
        <w:rPr>
          <w:rFonts w:ascii="Arial" w:cs="Arial" w:eastAsia="Arial" w:hAnsi="Arial"/>
          <w:b/>
          <w:bCs/>
          <w:color w:val="FFFFFF"/>
          <w:sz w:val="20"/>
          <w:szCs w:val="20"/>
          <w:shd w:fill="B8860B" w:val="clear"/>
        </w:rPr>
        <w:t xml:space="preserve">  THE PROBLEM  </w:t>
      </w:r>
    </w:p>
    <w:p>
      <w:pPr>
        <w:spacing w:after="80" w:before="60"/>
      </w:pPr>
      <w:r>
        <w:rPr>
          <w:rFonts w:ascii="Arial" w:cs="Arial" w:eastAsia="Arial" w:hAnsi="Arial"/>
          <w:color w:val="2C2C2C"/>
          <w:sz w:val="22"/>
          <w:szCs w:val="22"/>
        </w:rPr>
        <w:t xml:space="preserve">The current social media strategy relies entirely on organic content. While the team is posting consistently with project showcases and educational content, organic posts on Instagram, Facebook, and LinkedIn reach only 2–5% of a brand's existing followers. For a growing brand like TX Sparks, this translates to near-zero lead generation.</w:t>
      </w:r>
    </w:p>
    <w:p>
      <w:pPr>
        <w:spacing w:after="0" w:before="80"/>
      </w:pPr>
      <w:r>
        <w:t xml:space="preserve"/>
      </w:r>
    </w:p>
    <w:p>
      <w:pPr>
        <w:spacing w:after="80" w:before="60"/>
      </w:pPr>
      <w:r>
        <w:rPr>
          <w:rFonts w:ascii="Arial" w:cs="Arial" w:eastAsia="Arial" w:hAnsi="Arial"/>
          <w:color w:val="2C2C2C"/>
          <w:sz w:val="22"/>
          <w:szCs w:val="22"/>
        </w:rPr>
        <w:t xml:space="preserve">The luxury home buyer — a High Net Worth Individual (HNI) — does not make a $1M+ purchasing decision based on a single Instagram post. Their journey requires repeated brand exposure, trust-building content, and direct engagement through trusted intermediaries such as real estate agents, architects, and wealth managers. The current strategy does not address any of these touchpoints in a structured way.</w:t>
      </w:r>
    </w:p>
    <w:p>
      <w:pPr>
        <w:spacing w:after="0" w:before="140"/>
      </w:pPr>
      <w:r>
        <w:t xml:space="preserve"/>
      </w:r>
    </w:p>
    <w:p>
      <w:pPr>
        <w:spacing w:after="80" w:before="280"/>
      </w:pPr>
      <w:r>
        <w:rPr>
          <w:rFonts w:ascii="Arial" w:cs="Arial" w:eastAsia="Arial" w:hAnsi="Arial"/>
          <w:b/>
          <w:bCs/>
          <w:color w:val="FFFFFF"/>
          <w:sz w:val="20"/>
          <w:szCs w:val="20"/>
          <w:shd w:fill="B8860B" w:val="clear"/>
        </w:rPr>
        <w:t xml:space="preserve">  SOLUTIONS &amp; ACTION PLAN  </w:t>
      </w:r>
    </w:p>
    <w:p>
      <w:pPr>
        <w:spacing w:after="0" w:before="80"/>
      </w:pPr>
      <w:r>
        <w:t xml:space="preserve"/>
      </w:r>
    </w:p>
    <w:p>
      <w:pPr>
        <w:spacing w:after="80" w:before="240"/>
      </w:pPr>
      <w:r>
        <w:rPr>
          <w:rFonts w:ascii="Arial" w:cs="Arial" w:eastAsia="Arial" w:hAnsi="Arial"/>
          <w:b/>
          <w:bCs/>
          <w:color w:val="4A4A6A"/>
          <w:sz w:val="22"/>
          <w:szCs w:val="22"/>
        </w:rPr>
        <w:t xml:space="preserve">2.1  Phased Paid Advertising Strategy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20"/>
            </w:tcMar>
          </w:tcPr>
          <w:p>
            <w:r>
              <w:rPr>
                <w:rFonts w:ascii="Arial" w:cs="Arial" w:eastAsia="Arial" w:hAnsi="Arial"/>
                <w:b/>
                <w:bCs/>
                <w:color w:val="FFFFFF"/>
                <w:sz w:val="21"/>
                <w:szCs w:val="21"/>
              </w:rPr>
              <w:t xml:space="preserve">Phase</w:t>
            </w:r>
          </w:p>
        </w:tc>
        <w:tc>
          <w:tcPr>
            <w:tcW w:type="dxa" w:w="2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20"/>
            </w:tcMar>
          </w:tcPr>
          <w:p>
            <w:r>
              <w:rPr>
                <w:rFonts w:ascii="Arial" w:cs="Arial" w:eastAsia="Arial" w:hAnsi="Arial"/>
                <w:b/>
                <w:bCs/>
                <w:color w:val="FFFFFF"/>
                <w:sz w:val="21"/>
                <w:szCs w:val="21"/>
              </w:rPr>
              <w:t xml:space="preserve">Timeline</w:t>
            </w:r>
          </w:p>
        </w:tc>
        <w:tc>
          <w:tcPr>
            <w:tcW w:type="dxa" w:w="53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20"/>
            </w:tcMar>
          </w:tcPr>
          <w:p>
            <w:r>
              <w:rPr>
                <w:rFonts w:ascii="Arial" w:cs="Arial" w:eastAsia="Arial" w:hAnsi="Arial"/>
                <w:b/>
                <w:bCs/>
                <w:color w:val="FFFFFF"/>
                <w:sz w:val="21"/>
                <w:szCs w:val="21"/>
              </w:rPr>
              <w:t xml:space="preserve">Key Actions</w:t>
            </w:r>
          </w:p>
        </w:tc>
      </w:tr>
      <w:tr>
        <w:tc>
          <w:tcPr>
            <w:tcW w:type="dxa" w:w="1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20"/>
            </w:tcMar>
            <w:vAlign w:val="center"/>
          </w:tcPr>
          <w:p>
            <w:pPr>
              <w:jc w:val="center"/>
            </w:pPr>
            <w:r>
              <w:rPr>
                <w:rFonts w:ascii="Arial" w:cs="Arial" w:eastAsia="Arial" w:hAnsi="Arial"/>
                <w:b/>
                <w:bCs/>
                <w:color w:val="FFFFFF"/>
                <w:sz w:val="21"/>
                <w:szCs w:val="21"/>
              </w:rPr>
              <w:t xml:space="preserve">Phase 1</w:t>
            </w:r>
          </w:p>
        </w:tc>
        <w:tc>
          <w:tcPr>
            <w:tcW w:type="dxa" w:w="2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20"/>
            </w:tcMar>
          </w:tcPr>
          <w:p>
            <w:r>
              <w:rPr>
                <w:rFonts w:ascii="Arial" w:cs="Arial" w:eastAsia="Arial" w:hAnsi="Arial"/>
                <w:b/>
                <w:bCs/>
                <w:color w:val="1A1A2E"/>
                <w:sz w:val="20"/>
                <w:szCs w:val="20"/>
              </w:rPr>
              <w:t xml:space="preserve">Weeks 1–2
(Immediate)</w:t>
            </w:r>
          </w:p>
        </w:tc>
        <w:tc>
          <w:tcPr>
            <w:tcW w:type="dxa" w:w="53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20"/>
            </w:tcMar>
          </w:tcPr>
          <w:p>
            <w:pPr>
              <w:pStyle w:val="ListParagraph"/>
              <w:numPr>
                <w:ilvl w:val="0"/>
                <w:numId w:val="2"/>
              </w:numPr>
            </w:pPr>
            <w:r>
              <w:rPr>
                <w:rFonts w:ascii="Arial" w:cs="Arial" w:eastAsia="Arial" w:hAnsi="Arial"/>
                <w:color w:val="2C2C2C"/>
                <w:sz w:val="20"/>
                <w:szCs w:val="20"/>
              </w:rPr>
              <w:t xml:space="preserve">Launch Awareness Ads on Meta and LinkedIn</w:t>
            </w:r>
          </w:p>
          <w:p>
            <w:pPr>
              <w:pStyle w:val="ListParagraph"/>
              <w:numPr>
                <w:ilvl w:val="0"/>
                <w:numId w:val="2"/>
              </w:numPr>
            </w:pPr>
            <w:r>
              <w:rPr>
                <w:rFonts w:ascii="Arial" w:cs="Arial" w:eastAsia="Arial" w:hAnsi="Arial"/>
                <w:color w:val="2C2C2C"/>
                <w:sz w:val="20"/>
                <w:szCs w:val="20"/>
              </w:rPr>
              <w:t xml:space="preserve">Target high-income demographics in Austin, Dallas, Houston (HHI $300K+)</w:t>
            </w:r>
          </w:p>
          <w:p>
            <w:pPr>
              <w:pStyle w:val="ListParagraph"/>
              <w:numPr>
                <w:ilvl w:val="0"/>
                <w:numId w:val="2"/>
              </w:numPr>
            </w:pPr>
            <w:r>
              <w:rPr>
                <w:rFonts w:ascii="Arial" w:cs="Arial" w:eastAsia="Arial" w:hAnsi="Arial"/>
                <w:color w:val="2C2C2C"/>
                <w:sz w:val="20"/>
                <w:szCs w:val="20"/>
              </w:rPr>
              <w:t xml:space="preserve">Use drone footage, project photography, and steel construction visuals</w:t>
            </w:r>
          </w:p>
          <w:p>
            <w:pPr>
              <w:pStyle w:val="ListParagraph"/>
              <w:numPr>
                <w:ilvl w:val="0"/>
                <w:numId w:val="2"/>
              </w:numPr>
            </w:pPr>
            <w:r>
              <w:rPr>
                <w:rFonts w:ascii="Arial" w:cs="Arial" w:eastAsia="Arial" w:hAnsi="Arial"/>
                <w:color w:val="2C2C2C"/>
                <w:sz w:val="20"/>
                <w:szCs w:val="20"/>
              </w:rPr>
              <w:t xml:space="preserve">Budget: $2,000–$3,000/month as starting investment</w:t>
            </w:r>
          </w:p>
        </w:tc>
      </w:tr>
      <w:tr>
        <w:tc>
          <w:tcPr>
            <w:tcW w:type="dxa" w:w="1800"/>
            <w:tcBorders>
              <w:top w:val="single" w:color="CCCCCC" w:sz="1"/>
              <w:left w:val="single" w:color="CCCCCC" w:sz="1"/>
              <w:bottom w:val="single" w:color="CCCCCC" w:sz="1"/>
              <w:right w:val="single" w:color="CCCCCC" w:sz="1"/>
            </w:tcBorders>
            <w:shd w:fill="4A4A6A" w:val="clear"/>
            <w:tcMar>
              <w:top w:type="dxa" w:w="100"/>
              <w:left w:type="dxa" w:w="140"/>
              <w:bottom w:type="dxa" w:w="100"/>
              <w:right w:type="dxa" w:w="120"/>
            </w:tcMar>
            <w:vAlign w:val="center"/>
          </w:tcPr>
          <w:p>
            <w:pPr>
              <w:jc w:val="center"/>
            </w:pPr>
            <w:r>
              <w:rPr>
                <w:rFonts w:ascii="Arial" w:cs="Arial" w:eastAsia="Arial" w:hAnsi="Arial"/>
                <w:b/>
                <w:bCs/>
                <w:color w:val="FFFFFF"/>
                <w:sz w:val="21"/>
                <w:szCs w:val="21"/>
              </w:rPr>
              <w:t xml:space="preserve">Phase 2</w:t>
            </w:r>
          </w:p>
        </w:tc>
        <w:tc>
          <w:tcPr>
            <w:tcW w:type="dxa" w:w="2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20"/>
            </w:tcMar>
          </w:tcPr>
          <w:p>
            <w:r>
              <w:rPr>
                <w:rFonts w:ascii="Arial" w:cs="Arial" w:eastAsia="Arial" w:hAnsi="Arial"/>
                <w:b/>
                <w:bCs/>
                <w:color w:val="1A1A2E"/>
                <w:sz w:val="20"/>
                <w:szCs w:val="20"/>
              </w:rPr>
              <w:t xml:space="preserve">Weeks 3–4
(Retargeting)</w:t>
            </w:r>
          </w:p>
        </w:tc>
        <w:tc>
          <w:tcPr>
            <w:tcW w:type="dxa" w:w="53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20"/>
            </w:tcMar>
          </w:tcPr>
          <w:p>
            <w:pPr>
              <w:pStyle w:val="ListParagraph"/>
              <w:numPr>
                <w:ilvl w:val="0"/>
                <w:numId w:val="2"/>
              </w:numPr>
            </w:pPr>
            <w:r>
              <w:rPr>
                <w:rFonts w:ascii="Arial" w:cs="Arial" w:eastAsia="Arial" w:hAnsi="Arial"/>
                <w:color w:val="2C2C2C"/>
                <w:sz w:val="20"/>
                <w:szCs w:val="20"/>
              </w:rPr>
              <w:t xml:space="preserve">Set up pixel-based retargeting on website visitors</w:t>
            </w:r>
          </w:p>
          <w:p>
            <w:pPr>
              <w:pStyle w:val="ListParagraph"/>
              <w:numPr>
                <w:ilvl w:val="0"/>
                <w:numId w:val="2"/>
              </w:numPr>
            </w:pPr>
            <w:r>
              <w:rPr>
                <w:rFonts w:ascii="Arial" w:cs="Arial" w:eastAsia="Arial" w:hAnsi="Arial"/>
                <w:color w:val="2C2C2C"/>
                <w:sz w:val="20"/>
                <w:szCs w:val="20"/>
              </w:rPr>
              <w:t xml:space="preserve">Retarget social media engagers with deeper project content</w:t>
            </w:r>
          </w:p>
          <w:p>
            <w:pPr>
              <w:pStyle w:val="ListParagraph"/>
              <w:numPr>
                <w:ilvl w:val="0"/>
                <w:numId w:val="2"/>
              </w:numPr>
            </w:pPr>
            <w:r>
              <w:rPr>
                <w:rFonts w:ascii="Arial" w:cs="Arial" w:eastAsia="Arial" w:hAnsi="Arial"/>
                <w:color w:val="2C2C2C"/>
                <w:sz w:val="20"/>
                <w:szCs w:val="20"/>
              </w:rPr>
              <w:t xml:space="preserve">Introduce 'Virtual Project Tour' video ads for warm audiences</w:t>
            </w:r>
          </w:p>
          <w:p>
            <w:pPr>
              <w:pStyle w:val="ListParagraph"/>
              <w:numPr>
                <w:ilvl w:val="0"/>
                <w:numId w:val="2"/>
              </w:numPr>
            </w:pPr>
            <w:r>
              <w:rPr>
                <w:rFonts w:ascii="Arial" w:cs="Arial" w:eastAsia="Arial" w:hAnsi="Arial"/>
                <w:color w:val="2C2C2C"/>
                <w:sz w:val="20"/>
                <w:szCs w:val="20"/>
              </w:rPr>
              <w:t xml:space="preserve">Expected CPL: $150–$400 in luxury segment</w:t>
            </w:r>
          </w:p>
        </w:tc>
      </w:tr>
      <w:tr>
        <w:tc>
          <w:tcPr>
            <w:tcW w:type="dxa" w:w="1800"/>
            <w:tcBorders>
              <w:top w:val="single" w:color="CCCCCC" w:sz="1"/>
              <w:left w:val="single" w:color="CCCCCC" w:sz="1"/>
              <w:bottom w:val="single" w:color="CCCCCC" w:sz="1"/>
              <w:right w:val="single" w:color="CCCCCC" w:sz="1"/>
            </w:tcBorders>
            <w:shd w:fill="B8860B" w:val="clear"/>
            <w:tcMar>
              <w:top w:type="dxa" w:w="100"/>
              <w:left w:type="dxa" w:w="140"/>
              <w:bottom w:type="dxa" w:w="100"/>
              <w:right w:type="dxa" w:w="120"/>
            </w:tcMar>
            <w:vAlign w:val="center"/>
          </w:tcPr>
          <w:p>
            <w:pPr>
              <w:jc w:val="center"/>
            </w:pPr>
            <w:r>
              <w:rPr>
                <w:rFonts w:ascii="Arial" w:cs="Arial" w:eastAsia="Arial" w:hAnsi="Arial"/>
                <w:b/>
                <w:bCs/>
                <w:color w:val="FFFFFF"/>
                <w:sz w:val="21"/>
                <w:szCs w:val="21"/>
              </w:rPr>
              <w:t xml:space="preserve">Phase 3</w:t>
            </w:r>
          </w:p>
        </w:tc>
        <w:tc>
          <w:tcPr>
            <w:tcW w:type="dxa" w:w="2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20"/>
            </w:tcMar>
          </w:tcPr>
          <w:p>
            <w:r>
              <w:rPr>
                <w:rFonts w:ascii="Arial" w:cs="Arial" w:eastAsia="Arial" w:hAnsi="Arial"/>
                <w:b/>
                <w:bCs/>
                <w:color w:val="1A1A2E"/>
                <w:sz w:val="20"/>
                <w:szCs w:val="20"/>
              </w:rPr>
              <w:t xml:space="preserve">Month 2+
(Lead Gen)</w:t>
            </w:r>
          </w:p>
        </w:tc>
        <w:tc>
          <w:tcPr>
            <w:tcW w:type="dxa" w:w="53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20"/>
            </w:tcMar>
          </w:tcPr>
          <w:p>
            <w:pPr>
              <w:pStyle w:val="ListParagraph"/>
              <w:numPr>
                <w:ilvl w:val="0"/>
                <w:numId w:val="2"/>
              </w:numPr>
            </w:pPr>
            <w:r>
              <w:rPr>
                <w:rFonts w:ascii="Arial" w:cs="Arial" w:eastAsia="Arial" w:hAnsi="Arial"/>
                <w:color w:val="2C2C2C"/>
                <w:sz w:val="20"/>
                <w:szCs w:val="20"/>
              </w:rPr>
              <w:t xml:space="preserve">Run Lead Generation Form campaigns on Meta</w:t>
            </w:r>
          </w:p>
          <w:p>
            <w:pPr>
              <w:pStyle w:val="ListParagraph"/>
              <w:numPr>
                <w:ilvl w:val="0"/>
                <w:numId w:val="2"/>
              </w:numPr>
            </w:pPr>
            <w:r>
              <w:rPr>
                <w:rFonts w:ascii="Arial" w:cs="Arial" w:eastAsia="Arial" w:hAnsi="Arial"/>
                <w:color w:val="2C2C2C"/>
                <w:sz w:val="20"/>
                <w:szCs w:val="20"/>
              </w:rPr>
              <w:t xml:space="preserve">CTA: 'Request a Custom Home Consultation' / 'View Our Portfolio'</w:t>
            </w:r>
          </w:p>
          <w:p>
            <w:pPr>
              <w:pStyle w:val="ListParagraph"/>
              <w:numPr>
                <w:ilvl w:val="0"/>
                <w:numId w:val="2"/>
              </w:numPr>
            </w:pPr>
            <w:r>
              <w:rPr>
                <w:rFonts w:ascii="Arial" w:cs="Arial" w:eastAsia="Arial" w:hAnsi="Arial"/>
                <w:color w:val="2C2C2C"/>
                <w:sz w:val="20"/>
                <w:szCs w:val="20"/>
              </w:rPr>
              <w:t xml:space="preserve">Connect leads to CRM for nurture sequences</w:t>
            </w:r>
          </w:p>
          <w:p>
            <w:pPr>
              <w:pStyle w:val="ListParagraph"/>
              <w:numPr>
                <w:ilvl w:val="0"/>
                <w:numId w:val="2"/>
              </w:numPr>
            </w:pPr>
            <w:r>
              <w:rPr>
                <w:rFonts w:ascii="Arial" w:cs="Arial" w:eastAsia="Arial" w:hAnsi="Arial"/>
                <w:color w:val="2C2C2C"/>
                <w:sz w:val="20"/>
                <w:szCs w:val="20"/>
              </w:rPr>
              <w:t xml:space="preserve">A/B test creatives and audiences monthly</w:t>
            </w:r>
          </w:p>
        </w:tc>
      </w:tr>
    </w:tbl>
    <w:p>
      <w:pPr>
        <w:spacing w:after="0" w:before="140"/>
      </w:pPr>
      <w:r>
        <w:t xml:space="preserve"/>
      </w:r>
    </w:p>
    <w:p>
      <w:pPr>
        <w:spacing w:after="80" w:before="240"/>
      </w:pPr>
      <w:r>
        <w:rPr>
          <w:rFonts w:ascii="Arial" w:cs="Arial" w:eastAsia="Arial" w:hAnsi="Arial"/>
          <w:b/>
          <w:bCs/>
          <w:color w:val="4A4A6A"/>
          <w:sz w:val="22"/>
          <w:szCs w:val="22"/>
        </w:rPr>
        <w:t xml:space="preserve">2.2  HNI-Specific Content &amp; Channel Strategy</w:t>
      </w:r>
    </w:p>
    <w:p>
      <w:pPr>
        <w:pStyle w:val="ListParagraph"/>
        <w:numPr>
          <w:ilvl w:val="0"/>
          <w:numId w:val="2"/>
        </w:numPr>
        <w:spacing w:after="60" w:before="60"/>
      </w:pPr>
      <w:r>
        <w:rPr>
          <w:rFonts w:ascii="Arial" w:cs="Arial" w:eastAsia="Arial" w:hAnsi="Arial"/>
          <w:b w:val="false"/>
          <w:bCs w:val="false"/>
          <w:color w:val="2C2C2C"/>
          <w:sz w:val="22"/>
          <w:szCs w:val="22"/>
        </w:rPr>
        <w:t xml:space="preserve">LinkedIn: Establish founders as thought leaders — publish long-form articles on luxury construction trends, steel home benefits, and Austin real estate investment</w:t>
      </w:r>
    </w:p>
    <w:p>
      <w:pPr>
        <w:pStyle w:val="ListParagraph"/>
        <w:numPr>
          <w:ilvl w:val="0"/>
          <w:numId w:val="2"/>
        </w:numPr>
        <w:spacing w:after="60" w:before="60"/>
      </w:pPr>
      <w:r>
        <w:rPr>
          <w:rFonts w:ascii="Arial" w:cs="Arial" w:eastAsia="Arial" w:hAnsi="Arial"/>
          <w:b w:val="false"/>
          <w:bCs w:val="false"/>
          <w:color w:val="2C2C2C"/>
          <w:sz w:val="22"/>
          <w:szCs w:val="22"/>
        </w:rPr>
        <w:t xml:space="preserve">Instagram: Focus on aspirational lifestyle content — luxury interiors, architectural details, before/after project transformations</w:t>
      </w:r>
    </w:p>
    <w:p>
      <w:pPr>
        <w:pStyle w:val="ListParagraph"/>
        <w:numPr>
          <w:ilvl w:val="0"/>
          <w:numId w:val="2"/>
        </w:numPr>
        <w:spacing w:after="60" w:before="60"/>
      </w:pPr>
      <w:r>
        <w:rPr>
          <w:rFonts w:ascii="Arial" w:cs="Arial" w:eastAsia="Arial" w:hAnsi="Arial"/>
          <w:b w:val="false"/>
          <w:bCs w:val="false"/>
          <w:color w:val="2C2C2C"/>
          <w:sz w:val="22"/>
          <w:szCs w:val="22"/>
        </w:rPr>
        <w:t xml:space="preserve">YouTube: Invest in long-form video content — site walkthroughs, construction time-lapses, client testimonials</w:t>
      </w:r>
    </w:p>
    <w:p>
      <w:pPr>
        <w:pStyle w:val="ListParagraph"/>
        <w:numPr>
          <w:ilvl w:val="0"/>
          <w:numId w:val="2"/>
        </w:numPr>
        <w:spacing w:after="60" w:before="60"/>
      </w:pPr>
      <w:r>
        <w:rPr>
          <w:rFonts w:ascii="Arial" w:cs="Arial" w:eastAsia="Arial" w:hAnsi="Arial"/>
          <w:b w:val="false"/>
          <w:bCs w:val="false"/>
          <w:color w:val="2C2C2C"/>
          <w:sz w:val="22"/>
          <w:szCs w:val="22"/>
        </w:rPr>
        <w:t xml:space="preserve">Email Marketing: Build a subscriber list of real estate agents, architects, and developers; send a monthly project newsletter</w:t>
      </w:r>
    </w:p>
    <w:p>
      <w:r>
        <w:br w:type="page"/>
      </w:r>
    </w:p>
    <w:p>
      <w:pPr>
        <w:pStyle w:val="Heading1"/>
        <w:pBdr>
          <w:bottom w:val="single" w:color="B8860B" w:sz="6" w:space="4"/>
        </w:pBdr>
        <w:spacing w:after="200" w:before="400"/>
      </w:pPr>
      <w:r>
        <w:rPr>
          <w:rFonts w:ascii="Arial" w:cs="Arial" w:eastAsia="Arial" w:hAnsi="Arial"/>
          <w:b/>
          <w:bCs/>
          <w:color w:val="1A1A2E"/>
          <w:sz w:val="32"/>
          <w:szCs w:val="32"/>
        </w:rPr>
        <w:t xml:space="preserve">CHALLENGE 03: LEAD GENERATION &amp; CUSTOMER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B8860B" w:val="clear"/>
            <w:tcMar>
              <w:top w:type="dxa" w:w="100"/>
              <w:left w:type="dxa" w:w="140"/>
              <w:bottom w:type="dxa" w:w="100"/>
              <w:right w:type="dxa" w:w="140"/>
            </w:tcMar>
            <w:vAlign w:val="center"/>
          </w:tcPr>
          <w:p>
            <w:pPr>
              <w:jc w:val="center"/>
            </w:pPr>
            <w:r>
              <w:rPr>
                <w:rFonts w:ascii="Arial" w:cs="Arial" w:eastAsia="Arial" w:hAnsi="Arial"/>
                <w:b/>
                <w:bCs/>
                <w:color w:val="FFFFFF"/>
                <w:sz w:val="32"/>
                <w:szCs w:val="32"/>
              </w:rPr>
              <w:t xml:space="preserve">03</w:t>
            </w:r>
          </w:p>
        </w:tc>
        <w:tc>
          <w:tcPr>
            <w:tcW w:type="dxa" w:w="8660"/>
            <w:tcBorders>
              <w:top w:val="none" w:color="FFFFFF" w:sz="0"/>
              <w:left w:val="none" w:color="FFFFFF" w:sz="0"/>
              <w:bottom w:val="none" w:color="FFFFFF" w:sz="0"/>
              <w:right w:val="none" w:color="FFFFFF" w:sz="0"/>
            </w:tcBorders>
            <w:shd w:fill="1A1A2E" w:val="clear"/>
            <w:tcMar>
              <w:top w:type="dxa" w:w="100"/>
              <w:left w:type="dxa" w:w="200"/>
              <w:bottom w:type="dxa" w:w="100"/>
              <w:right w:type="dxa" w:w="140"/>
            </w:tcMar>
          </w:tcPr>
          <w:p>
            <w:r>
              <w:rPr>
                <w:rFonts w:ascii="Arial" w:cs="Arial" w:eastAsia="Arial" w:hAnsi="Arial"/>
                <w:b/>
                <w:bCs/>
                <w:color w:val="FFFFFF"/>
                <w:sz w:val="26"/>
                <w:szCs w:val="26"/>
              </w:rPr>
              <w:t xml:space="preserve">Near-Zero Lead Generation Across All Digital Channels</w:t>
            </w:r>
          </w:p>
          <w:p>
            <w:r>
              <w:rPr>
                <w:rFonts w:ascii="Arial" w:cs="Arial" w:eastAsia="Arial" w:hAnsi="Arial"/>
                <w:i/>
                <w:iCs/>
                <w:color w:val="BBBBCC"/>
                <w:sz w:val="20"/>
                <w:szCs w:val="20"/>
              </w:rPr>
              <w:t xml:space="preserve">Website, social media, and CRM underperforming — no structured lead nurture system exists</w:t>
            </w:r>
          </w:p>
        </w:tc>
      </w:tr>
    </w:tbl>
    <w:p>
      <w:pPr>
        <w:spacing w:after="0" w:before="140"/>
      </w:pPr>
      <w:r>
        <w:t xml:space="preserve"/>
      </w:r>
    </w:p>
    <w:p>
      <w:pPr>
        <w:spacing w:after="80" w:before="280"/>
      </w:pPr>
      <w:r>
        <w:rPr>
          <w:rFonts w:ascii="Arial" w:cs="Arial" w:eastAsia="Arial" w:hAnsi="Arial"/>
          <w:b/>
          <w:bCs/>
          <w:color w:val="FFFFFF"/>
          <w:sz w:val="20"/>
          <w:szCs w:val="20"/>
          <w:shd w:fill="B8860B" w:val="clear"/>
        </w:rPr>
        <w:t xml:space="preserve">  THE PROBLEM  </w:t>
      </w:r>
    </w:p>
    <w:p>
      <w:pPr>
        <w:spacing w:after="80" w:before="60"/>
      </w:pPr>
      <w:r>
        <w:rPr>
          <w:rFonts w:ascii="Arial" w:cs="Arial" w:eastAsia="Arial" w:hAnsi="Arial"/>
          <w:color w:val="2C2C2C"/>
          <w:sz w:val="22"/>
          <w:szCs w:val="22"/>
        </w:rPr>
        <w:t xml:space="preserve">As confirmed in the SMM review meeting, TX Sparks Luxury Homes is currently receiving approximately zero inquiries from all social media handles combined. The website lacks lead capture optimization, and there is no CRM or lead nurturing system in place to convert warm prospects into clients. Customer reviews — a critical trust signal in the luxury segment — are sparse and not actively solicited.</w:t>
      </w:r>
    </w:p>
    <w:p>
      <w:pPr>
        <w:spacing w:after="0" w:before="80"/>
      </w:pPr>
      <w:r>
        <w:t xml:space="preserve"/>
      </w:r>
    </w:p>
    <w:p>
      <w:pPr>
        <w:spacing w:after="80" w:before="60"/>
      </w:pPr>
      <w:r>
        <w:rPr>
          <w:rFonts w:ascii="Arial" w:cs="Arial" w:eastAsia="Arial" w:hAnsi="Arial"/>
          <w:color w:val="2C2C2C"/>
          <w:sz w:val="22"/>
          <w:szCs w:val="22"/>
        </w:rPr>
        <w:t xml:space="preserve">The luxury buyer's journey is long — typically 6 to 18 months from initial awareness to contract signing. Without a structured system to capture leads, nurture them over time, and build trust through reviews and testimonials, TX Sparks loses potential clients who were initially interested but never followed up with.</w:t>
      </w:r>
    </w:p>
    <w:p>
      <w:pPr>
        <w:spacing w:after="0" w:before="140"/>
      </w:pPr>
      <w:r>
        <w:t xml:space="preserve"/>
      </w:r>
    </w:p>
    <w:p>
      <w:pPr>
        <w:spacing w:after="80" w:before="280"/>
      </w:pPr>
      <w:r>
        <w:rPr>
          <w:rFonts w:ascii="Arial" w:cs="Arial" w:eastAsia="Arial" w:hAnsi="Arial"/>
          <w:b/>
          <w:bCs/>
          <w:color w:val="FFFFFF"/>
          <w:sz w:val="20"/>
          <w:szCs w:val="20"/>
          <w:shd w:fill="B8860B" w:val="clear"/>
        </w:rPr>
        <w:t xml:space="preserve">  SOLUTIONS &amp; ACTION PLAN  </w:t>
      </w:r>
    </w:p>
    <w:p>
      <w:pPr>
        <w:spacing w:after="0" w:before="80"/>
      </w:pPr>
      <w:r>
        <w:t xml:space="preserve"/>
      </w:r>
    </w:p>
    <w:p>
      <w:pPr>
        <w:spacing w:after="80" w:before="240"/>
      </w:pPr>
      <w:r>
        <w:rPr>
          <w:rFonts w:ascii="Arial" w:cs="Arial" w:eastAsia="Arial" w:hAnsi="Arial"/>
          <w:b/>
          <w:bCs/>
          <w:color w:val="4A4A6A"/>
          <w:sz w:val="22"/>
          <w:szCs w:val="22"/>
        </w:rPr>
        <w:t xml:space="preserve">3.1  Website Conversion Optimization</w:t>
      </w:r>
    </w:p>
    <w:p>
      <w:pPr>
        <w:pStyle w:val="ListParagraph"/>
        <w:numPr>
          <w:ilvl w:val="0"/>
          <w:numId w:val="2"/>
        </w:numPr>
        <w:spacing w:after="60" w:before="60"/>
      </w:pPr>
      <w:r>
        <w:rPr>
          <w:rFonts w:ascii="Arial" w:cs="Arial" w:eastAsia="Arial" w:hAnsi="Arial"/>
          <w:b w:val="false"/>
          <w:bCs w:val="false"/>
          <w:color w:val="2C2C2C"/>
          <w:sz w:val="22"/>
          <w:szCs w:val="22"/>
        </w:rPr>
        <w:t xml:space="preserve">Add a prominent 'Request a Consultation' CTA above the fold on the homepage</w:t>
      </w:r>
    </w:p>
    <w:p>
      <w:pPr>
        <w:pStyle w:val="ListParagraph"/>
        <w:numPr>
          <w:ilvl w:val="0"/>
          <w:numId w:val="2"/>
        </w:numPr>
        <w:spacing w:after="60" w:before="60"/>
      </w:pPr>
      <w:r>
        <w:rPr>
          <w:rFonts w:ascii="Arial" w:cs="Arial" w:eastAsia="Arial" w:hAnsi="Arial"/>
          <w:b w:val="false"/>
          <w:bCs w:val="false"/>
          <w:color w:val="2C2C2C"/>
          <w:sz w:val="22"/>
          <w:szCs w:val="22"/>
        </w:rPr>
        <w:t xml:space="preserve">Create a dedicated Portfolio page with high-resolution photography, drone videos, and project details for each completed build</w:t>
      </w:r>
    </w:p>
    <w:p>
      <w:pPr>
        <w:pStyle w:val="ListParagraph"/>
        <w:numPr>
          <w:ilvl w:val="0"/>
          <w:numId w:val="2"/>
        </w:numPr>
        <w:spacing w:after="60" w:before="60"/>
      </w:pPr>
      <w:r>
        <w:rPr>
          <w:rFonts w:ascii="Arial" w:cs="Arial" w:eastAsia="Arial" w:hAnsi="Arial"/>
          <w:b w:val="false"/>
          <w:bCs w:val="false"/>
          <w:color w:val="2C2C2C"/>
          <w:sz w:val="22"/>
          <w:szCs w:val="22"/>
        </w:rPr>
        <w:t xml:space="preserve">Add a 'Why Steel?' landing page that educates visitors on LGS and Structural Steel advantages — this serves as both an SEO and trust asset</w:t>
      </w:r>
    </w:p>
    <w:p>
      <w:pPr>
        <w:pStyle w:val="ListParagraph"/>
        <w:numPr>
          <w:ilvl w:val="0"/>
          <w:numId w:val="2"/>
        </w:numPr>
        <w:spacing w:after="60" w:before="60"/>
      </w:pPr>
      <w:r>
        <w:rPr>
          <w:rFonts w:ascii="Arial" w:cs="Arial" w:eastAsia="Arial" w:hAnsi="Arial"/>
          <w:b w:val="false"/>
          <w:bCs w:val="false"/>
          <w:color w:val="2C2C2C"/>
          <w:sz w:val="22"/>
          <w:szCs w:val="22"/>
        </w:rPr>
        <w:t xml:space="preserve">Install a live chat or WhatsApp chat widget to capture visitors in real time</w:t>
      </w:r>
    </w:p>
    <w:p>
      <w:pPr>
        <w:pStyle w:val="ListParagraph"/>
        <w:numPr>
          <w:ilvl w:val="0"/>
          <w:numId w:val="2"/>
        </w:numPr>
        <w:spacing w:after="60" w:before="60"/>
      </w:pPr>
      <w:r>
        <w:rPr>
          <w:rFonts w:ascii="Arial" w:cs="Arial" w:eastAsia="Arial" w:hAnsi="Arial"/>
          <w:b w:val="false"/>
          <w:bCs w:val="false"/>
          <w:color w:val="2C2C2C"/>
          <w:sz w:val="22"/>
          <w:szCs w:val="22"/>
        </w:rPr>
        <w:t xml:space="preserve">Implement Google Analytics 4, Meta Pixel, and LinkedIn Insight Tag for conversion tracking</w:t>
      </w:r>
    </w:p>
    <w:p>
      <w:pPr>
        <w:spacing w:after="0" w:before="80"/>
      </w:pPr>
      <w:r>
        <w:t xml:space="preserve"/>
      </w:r>
    </w:p>
    <w:p>
      <w:pPr>
        <w:spacing w:after="80" w:before="240"/>
      </w:pPr>
      <w:r>
        <w:rPr>
          <w:rFonts w:ascii="Arial" w:cs="Arial" w:eastAsia="Arial" w:hAnsi="Arial"/>
          <w:b/>
          <w:bCs/>
          <w:color w:val="4A4A6A"/>
          <w:sz w:val="22"/>
          <w:szCs w:val="22"/>
        </w:rPr>
        <w:t xml:space="preserve">3.2  CRM &amp; Lead Nurture System</w:t>
      </w:r>
    </w:p>
    <w:p>
      <w:pPr>
        <w:pStyle w:val="ListParagraph"/>
        <w:numPr>
          <w:ilvl w:val="0"/>
          <w:numId w:val="2"/>
        </w:numPr>
        <w:spacing w:after="60" w:before="60"/>
      </w:pPr>
      <w:r>
        <w:rPr>
          <w:rFonts w:ascii="Arial" w:cs="Arial" w:eastAsia="Arial" w:hAnsi="Arial"/>
          <w:b w:val="false"/>
          <w:bCs w:val="false"/>
          <w:color w:val="2C2C2C"/>
          <w:sz w:val="22"/>
          <w:szCs w:val="22"/>
        </w:rPr>
        <w:t xml:space="preserve">Implement a CRM (HubSpot Free, Zoho, or similar) to track all leads by source, status, and follow-up date</w:t>
      </w:r>
    </w:p>
    <w:p>
      <w:pPr>
        <w:pStyle w:val="ListParagraph"/>
        <w:numPr>
          <w:ilvl w:val="0"/>
          <w:numId w:val="2"/>
        </w:numPr>
        <w:spacing w:after="60" w:before="60"/>
      </w:pPr>
      <w:r>
        <w:rPr>
          <w:rFonts w:ascii="Arial" w:cs="Arial" w:eastAsia="Arial" w:hAnsi="Arial"/>
          <w:b w:val="false"/>
          <w:bCs w:val="false"/>
          <w:color w:val="2C2C2C"/>
          <w:sz w:val="22"/>
          <w:szCs w:val="22"/>
        </w:rPr>
        <w:t xml:space="preserve">Create automated email sequences for new leads: welcome email → project portfolio → LGS case study → consultation invite</w:t>
      </w:r>
    </w:p>
    <w:p>
      <w:pPr>
        <w:pStyle w:val="ListParagraph"/>
        <w:numPr>
          <w:ilvl w:val="0"/>
          <w:numId w:val="2"/>
        </w:numPr>
        <w:spacing w:after="60" w:before="60"/>
      </w:pPr>
      <w:r>
        <w:rPr>
          <w:rFonts w:ascii="Arial" w:cs="Arial" w:eastAsia="Arial" w:hAnsi="Arial"/>
          <w:b w:val="false"/>
          <w:bCs w:val="false"/>
          <w:color w:val="2C2C2C"/>
          <w:sz w:val="22"/>
          <w:szCs w:val="22"/>
        </w:rPr>
        <w:t xml:space="preserve">Define lead stages: New Inquiry → Qualified → Consultation Booked → Proposal Sent → Contract Signed</w:t>
      </w:r>
    </w:p>
    <w:p>
      <w:pPr>
        <w:pStyle w:val="ListParagraph"/>
        <w:numPr>
          <w:ilvl w:val="0"/>
          <w:numId w:val="2"/>
        </w:numPr>
        <w:spacing w:after="60" w:before="60"/>
      </w:pPr>
      <w:r>
        <w:rPr>
          <w:rFonts w:ascii="Arial" w:cs="Arial" w:eastAsia="Arial" w:hAnsi="Arial"/>
          <w:b w:val="false"/>
          <w:bCs w:val="false"/>
          <w:color w:val="2C2C2C"/>
          <w:sz w:val="22"/>
          <w:szCs w:val="22"/>
        </w:rPr>
        <w:t xml:space="preserve">Set a weekly lead review cadence with the BD and SMM teams to assess pipeline health</w:t>
      </w:r>
    </w:p>
    <w:p>
      <w:pPr>
        <w:spacing w:after="0" w:before="80"/>
      </w:pPr>
      <w:r>
        <w:t xml:space="preserve"/>
      </w:r>
    </w:p>
    <w:p>
      <w:pPr>
        <w:spacing w:after="80" w:before="240"/>
      </w:pPr>
      <w:r>
        <w:rPr>
          <w:rFonts w:ascii="Arial" w:cs="Arial" w:eastAsia="Arial" w:hAnsi="Arial"/>
          <w:b/>
          <w:bCs/>
          <w:color w:val="4A4A6A"/>
          <w:sz w:val="22"/>
          <w:szCs w:val="22"/>
        </w:rPr>
        <w:t xml:space="preserve">3.3  Customer Reviews &amp; Testimonial Generation</w:t>
      </w:r>
    </w:p>
    <w:p>
      <w:pPr>
        <w:pStyle w:val="ListParagraph"/>
        <w:numPr>
          <w:ilvl w:val="0"/>
          <w:numId w:val="2"/>
        </w:numPr>
        <w:spacing w:after="60" w:before="60"/>
      </w:pPr>
      <w:r>
        <w:rPr>
          <w:rFonts w:ascii="Arial" w:cs="Arial" w:eastAsia="Arial" w:hAnsi="Arial"/>
          <w:b w:val="false"/>
          <w:bCs w:val="false"/>
          <w:color w:val="2C2C2C"/>
          <w:sz w:val="22"/>
          <w:szCs w:val="22"/>
        </w:rPr>
        <w:t xml:space="preserve">Immediately request a detailed Google Review and testimonial from the Austin project homeowner</w:t>
      </w:r>
    </w:p>
    <w:p>
      <w:pPr>
        <w:pStyle w:val="ListParagraph"/>
        <w:numPr>
          <w:ilvl w:val="0"/>
          <w:numId w:val="2"/>
        </w:numPr>
        <w:spacing w:after="60" w:before="60"/>
      </w:pPr>
      <w:r>
        <w:rPr>
          <w:rFonts w:ascii="Arial" w:cs="Arial" w:eastAsia="Arial" w:hAnsi="Arial"/>
          <w:b w:val="false"/>
          <w:bCs w:val="false"/>
          <w:color w:val="2C2C2C"/>
          <w:sz w:val="22"/>
          <w:szCs w:val="22"/>
        </w:rPr>
        <w:t xml:space="preserve">Create a structured post-handover review process: send a review request email within 48 hours of project delivery</w:t>
      </w:r>
    </w:p>
    <w:p>
      <w:pPr>
        <w:pStyle w:val="ListParagraph"/>
        <w:numPr>
          <w:ilvl w:val="0"/>
          <w:numId w:val="2"/>
        </w:numPr>
        <w:spacing w:after="60" w:before="60"/>
      </w:pPr>
      <w:r>
        <w:rPr>
          <w:rFonts w:ascii="Arial" w:cs="Arial" w:eastAsia="Arial" w:hAnsi="Arial"/>
          <w:b w:val="false"/>
          <w:bCs w:val="false"/>
          <w:color w:val="2C2C2C"/>
          <w:sz w:val="22"/>
          <w:szCs w:val="22"/>
        </w:rPr>
        <w:t xml:space="preserve">Feature testimonials prominently on the website, in paid ads, and in SMM posts</w:t>
      </w:r>
    </w:p>
    <w:p>
      <w:pPr>
        <w:pStyle w:val="ListParagraph"/>
        <w:numPr>
          <w:ilvl w:val="0"/>
          <w:numId w:val="2"/>
        </w:numPr>
        <w:spacing w:after="60" w:before="60"/>
      </w:pPr>
      <w:r>
        <w:rPr>
          <w:rFonts w:ascii="Arial" w:cs="Arial" w:eastAsia="Arial" w:hAnsi="Arial"/>
          <w:b w:val="false"/>
          <w:bCs w:val="false"/>
          <w:color w:val="2C2C2C"/>
          <w:sz w:val="22"/>
          <w:szCs w:val="22"/>
        </w:rPr>
        <w:t xml:space="preserve">Target 5 verified Google Reviews within 90 days as an initial milestone</w:t>
      </w:r>
    </w:p>
    <w:p>
      <w:r>
        <w:br w:type="page"/>
      </w:r>
    </w:p>
    <w:p>
      <w:pPr>
        <w:pStyle w:val="Heading1"/>
        <w:pBdr>
          <w:bottom w:val="single" w:color="B8860B" w:sz="6" w:space="4"/>
        </w:pBdr>
        <w:spacing w:after="200" w:before="400"/>
      </w:pPr>
      <w:r>
        <w:rPr>
          <w:rFonts w:ascii="Arial" w:cs="Arial" w:eastAsia="Arial" w:hAnsi="Arial"/>
          <w:b/>
          <w:bCs/>
          <w:color w:val="1A1A2E"/>
          <w:sz w:val="32"/>
          <w:szCs w:val="32"/>
        </w:rPr>
        <w:t xml:space="preserve">CHALLENGE 04: PREFERRED BUILDER STATUS IN LUXURY SUBDIVISIONS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B8860B" w:val="clear"/>
            <w:tcMar>
              <w:top w:type="dxa" w:w="100"/>
              <w:left w:type="dxa" w:w="140"/>
              <w:bottom w:type="dxa" w:w="100"/>
              <w:right w:type="dxa" w:w="140"/>
            </w:tcMar>
            <w:vAlign w:val="center"/>
          </w:tcPr>
          <w:p>
            <w:pPr>
              <w:jc w:val="center"/>
            </w:pPr>
            <w:r>
              <w:rPr>
                <w:rFonts w:ascii="Arial" w:cs="Arial" w:eastAsia="Arial" w:hAnsi="Arial"/>
                <w:b/>
                <w:bCs/>
                <w:color w:val="FFFFFF"/>
                <w:sz w:val="32"/>
                <w:szCs w:val="32"/>
              </w:rPr>
              <w:t xml:space="preserve">04</w:t>
            </w:r>
          </w:p>
        </w:tc>
        <w:tc>
          <w:tcPr>
            <w:tcW w:type="dxa" w:w="8660"/>
            <w:tcBorders>
              <w:top w:val="none" w:color="FFFFFF" w:sz="0"/>
              <w:left w:val="none" w:color="FFFFFF" w:sz="0"/>
              <w:bottom w:val="none" w:color="FFFFFF" w:sz="0"/>
              <w:right w:val="none" w:color="FFFFFF" w:sz="0"/>
            </w:tcBorders>
            <w:shd w:fill="1A1A2E" w:val="clear"/>
            <w:tcMar>
              <w:top w:type="dxa" w:w="100"/>
              <w:left w:type="dxa" w:w="200"/>
              <w:bottom w:type="dxa" w:w="100"/>
              <w:right w:type="dxa" w:w="140"/>
            </w:tcMar>
          </w:tcPr>
          <w:p>
            <w:r>
              <w:rPr>
                <w:rFonts w:ascii="Arial" w:cs="Arial" w:eastAsia="Arial" w:hAnsi="Arial"/>
                <w:b/>
                <w:bCs/>
                <w:color w:val="FFFFFF"/>
                <w:sz w:val="26"/>
                <w:szCs w:val="26"/>
              </w:rPr>
              <w:t xml:space="preserve">Not Yet Pursuing Preferred Builder Status in Master-Planned Communities</w:t>
            </w:r>
          </w:p>
          <w:p>
            <w:r>
              <w:rPr>
                <w:rFonts w:ascii="Arial" w:cs="Arial" w:eastAsia="Arial" w:hAnsi="Arial"/>
                <w:i/>
                <w:iCs/>
                <w:color w:val="BBBBCC"/>
                <w:sz w:val="20"/>
                <w:szCs w:val="20"/>
              </w:rPr>
              <w:t xml:space="preserve">This channel represents the highest-value, lowest-competition opportunity available to TX Sparks</w:t>
            </w:r>
          </w:p>
        </w:tc>
      </w:tr>
    </w:tbl>
    <w:p>
      <w:pPr>
        <w:spacing w:after="0" w:before="140"/>
      </w:pPr>
      <w:r>
        <w:t xml:space="preserve"/>
      </w:r>
    </w:p>
    <w:p>
      <w:pPr>
        <w:spacing w:after="80" w:before="280"/>
      </w:pPr>
      <w:r>
        <w:rPr>
          <w:rFonts w:ascii="Arial" w:cs="Arial" w:eastAsia="Arial" w:hAnsi="Arial"/>
          <w:b/>
          <w:bCs/>
          <w:color w:val="FFFFFF"/>
          <w:sz w:val="20"/>
          <w:szCs w:val="20"/>
          <w:shd w:fill="B8860B" w:val="clear"/>
        </w:rPr>
        <w:t xml:space="preserve">  THE PROBLEM  </w:t>
      </w:r>
    </w:p>
    <w:p>
      <w:pPr>
        <w:spacing w:after="80" w:before="60"/>
      </w:pPr>
      <w:r>
        <w:rPr>
          <w:rFonts w:ascii="Arial" w:cs="Arial" w:eastAsia="Arial" w:hAnsi="Arial"/>
          <w:color w:val="2C2C2C"/>
          <w:sz w:val="22"/>
          <w:szCs w:val="22"/>
        </w:rPr>
        <w:t xml:space="preserve">TX Sparks Luxury Homes has not yet initiated formal efforts to secure Preferred Builder status in the luxury subdivision and master-planned community pipeline in Austin and surrounding areas. This is a significant missed opportunity. Preferred Builder programs in communities such as Travisso, Caliterra, Provence, and Rough Hollow offer TX Sparks direct access to pre-qualified, motivated luxury home buyers — buyers who have already committed to a lot and are actively seeking a custom builder.</w:t>
      </w:r>
    </w:p>
    <w:p>
      <w:pPr>
        <w:spacing w:after="0" w:before="80"/>
      </w:pPr>
      <w:r>
        <w:t xml:space="preserve"/>
      </w:r>
    </w:p>
    <w:p>
      <w:pPr>
        <w:spacing w:after="80" w:before="60"/>
      </w:pPr>
      <w:r>
        <w:rPr>
          <w:rFonts w:ascii="Arial" w:cs="Arial" w:eastAsia="Arial" w:hAnsi="Arial"/>
          <w:color w:val="2C2C2C"/>
          <w:sz w:val="22"/>
          <w:szCs w:val="22"/>
        </w:rPr>
        <w:t xml:space="preserve">Without Preferred Builder status, TX Sparks must compete in an open market for every single project. With Preferred Builder designation, the community actively promotes TX Sparks to its lot owners, dramatically reducing the cost and effort of lead acquisition.</w:t>
      </w:r>
    </w:p>
    <w:p>
      <w:pPr>
        <w:spacing w:after="0" w:before="140"/>
      </w:pPr>
      <w:r>
        <w:t xml:space="preserve"/>
      </w:r>
    </w:p>
    <w:p>
      <w:pPr>
        <w:spacing w:after="80" w:before="280"/>
      </w:pPr>
      <w:r>
        <w:rPr>
          <w:rFonts w:ascii="Arial" w:cs="Arial" w:eastAsia="Arial" w:hAnsi="Arial"/>
          <w:b/>
          <w:bCs/>
          <w:color w:val="FFFFFF"/>
          <w:sz w:val="20"/>
          <w:szCs w:val="20"/>
          <w:shd w:fill="B8860B" w:val="clear"/>
        </w:rPr>
        <w:t xml:space="preserve">  SOLUTIONS &amp; ACTION PLAN  </w:t>
      </w:r>
    </w:p>
    <w:p>
      <w:pPr>
        <w:spacing w:after="0" w:before="80"/>
      </w:pPr>
      <w:r>
        <w:t xml:space="preserve"/>
      </w:r>
    </w:p>
    <w:p>
      <w:pPr>
        <w:spacing w:after="80" w:before="240"/>
      </w:pPr>
      <w:r>
        <w:rPr>
          <w:rFonts w:ascii="Arial" w:cs="Arial" w:eastAsia="Arial" w:hAnsi="Arial"/>
          <w:b/>
          <w:bCs/>
          <w:color w:val="4A4A6A"/>
          <w:sz w:val="22"/>
          <w:szCs w:val="22"/>
        </w:rPr>
        <w:t xml:space="preserve">4.1  Target Identification &amp; Application Process</w:t>
      </w:r>
    </w:p>
    <w:p>
      <w:pPr>
        <w:pStyle w:val="ListParagraph"/>
        <w:numPr>
          <w:ilvl w:val="0"/>
          <w:numId w:val="2"/>
        </w:numPr>
        <w:spacing w:after="60" w:before="60"/>
      </w:pPr>
      <w:r>
        <w:rPr>
          <w:rFonts w:ascii="Arial" w:cs="Arial" w:eastAsia="Arial" w:hAnsi="Arial"/>
          <w:b w:val="false"/>
          <w:bCs w:val="false"/>
          <w:color w:val="2C2C2C"/>
          <w:sz w:val="22"/>
          <w:szCs w:val="22"/>
        </w:rPr>
        <w:t xml:space="preserve">Identify the top 10–15 active luxury subdivision developments in the Austin Metro: Bee Cave, Lakeway, Dripping Springs, Georgetown, and North Austin corridors</w:t>
      </w:r>
    </w:p>
    <w:p>
      <w:pPr>
        <w:pStyle w:val="ListParagraph"/>
        <w:numPr>
          <w:ilvl w:val="0"/>
          <w:numId w:val="2"/>
        </w:numPr>
        <w:spacing w:after="60" w:before="60"/>
      </w:pPr>
      <w:r>
        <w:rPr>
          <w:rFonts w:ascii="Arial" w:cs="Arial" w:eastAsia="Arial" w:hAnsi="Arial"/>
          <w:b w:val="false"/>
          <w:bCs w:val="false"/>
          <w:color w:val="2C2C2C"/>
          <w:sz w:val="22"/>
          <w:szCs w:val="22"/>
        </w:rPr>
        <w:t xml:space="preserve">Research the Preferred Builder application requirements for each community — typically requires: proof of insurance, licensing, financial references, and a completed project portfolio</w:t>
      </w:r>
    </w:p>
    <w:p>
      <w:pPr>
        <w:pStyle w:val="ListParagraph"/>
        <w:numPr>
          <w:ilvl w:val="0"/>
          <w:numId w:val="2"/>
        </w:numPr>
        <w:spacing w:after="60" w:before="60"/>
      </w:pPr>
      <w:r>
        <w:rPr>
          <w:rFonts w:ascii="Arial" w:cs="Arial" w:eastAsia="Arial" w:hAnsi="Arial"/>
          <w:b w:val="false"/>
          <w:bCs w:val="false"/>
          <w:color w:val="2C2C2C"/>
          <w:sz w:val="22"/>
          <w:szCs w:val="22"/>
        </w:rPr>
        <w:t xml:space="preserve">Prepare a TX Sparks Preferred Builder Application Package: company credentials, completed project case studies, steel construction differentiators, and client references</w:t>
      </w:r>
    </w:p>
    <w:p>
      <w:pPr>
        <w:pStyle w:val="ListParagraph"/>
        <w:numPr>
          <w:ilvl w:val="0"/>
          <w:numId w:val="2"/>
        </w:numPr>
        <w:spacing w:after="60" w:before="60"/>
      </w:pPr>
      <w:r>
        <w:rPr>
          <w:rFonts w:ascii="Arial" w:cs="Arial" w:eastAsia="Arial" w:hAnsi="Arial"/>
          <w:b w:val="false"/>
          <w:bCs w:val="false"/>
          <w:color w:val="2C2C2C"/>
          <w:sz w:val="22"/>
          <w:szCs w:val="22"/>
        </w:rPr>
        <w:t xml:space="preserve">Submit applications to a minimum of 5 communities within the next 60 days</w:t>
      </w:r>
    </w:p>
    <w:p>
      <w:pPr>
        <w:spacing w:after="0" w:before="80"/>
      </w:pPr>
      <w:r>
        <w:t xml:space="preserve"/>
      </w:r>
    </w:p>
    <w:p>
      <w:pPr>
        <w:spacing w:after="80" w:before="240"/>
      </w:pPr>
      <w:r>
        <w:rPr>
          <w:rFonts w:ascii="Arial" w:cs="Arial" w:eastAsia="Arial" w:hAnsi="Arial"/>
          <w:b/>
          <w:bCs/>
          <w:color w:val="4A4A6A"/>
          <w:sz w:val="22"/>
          <w:szCs w:val="22"/>
        </w:rPr>
        <w:t xml:space="preserve">4.2  Relationship Building with Land Developers</w:t>
      </w:r>
    </w:p>
    <w:p>
      <w:pPr>
        <w:pStyle w:val="ListParagraph"/>
        <w:numPr>
          <w:ilvl w:val="0"/>
          <w:numId w:val="2"/>
        </w:numPr>
        <w:spacing w:after="60" w:before="60"/>
      </w:pPr>
      <w:r>
        <w:rPr>
          <w:rFonts w:ascii="Arial" w:cs="Arial" w:eastAsia="Arial" w:hAnsi="Arial"/>
          <w:b w:val="false"/>
          <w:bCs w:val="false"/>
          <w:color w:val="2C2C2C"/>
          <w:sz w:val="22"/>
          <w:szCs w:val="22"/>
        </w:rPr>
        <w:t xml:space="preserve">Identify the developers and land companies behind key Austin luxury communities and initiate direct relationship-building meetings</w:t>
      </w:r>
    </w:p>
    <w:p>
      <w:pPr>
        <w:pStyle w:val="ListParagraph"/>
        <w:numPr>
          <w:ilvl w:val="0"/>
          <w:numId w:val="2"/>
        </w:numPr>
        <w:spacing w:after="60" w:before="60"/>
      </w:pPr>
      <w:r>
        <w:rPr>
          <w:rFonts w:ascii="Arial" w:cs="Arial" w:eastAsia="Arial" w:hAnsi="Arial"/>
          <w:b w:val="false"/>
          <w:bCs w:val="false"/>
          <w:color w:val="2C2C2C"/>
          <w:sz w:val="22"/>
          <w:szCs w:val="22"/>
        </w:rPr>
        <w:t xml:space="preserve">Attend Texas Builder Association events, Urban Land Institute (ULI) Texas chapter meetings, and Austin luxury real estate networking events</w:t>
      </w:r>
    </w:p>
    <w:p>
      <w:pPr>
        <w:pStyle w:val="ListParagraph"/>
        <w:numPr>
          <w:ilvl w:val="0"/>
          <w:numId w:val="2"/>
        </w:numPr>
        <w:spacing w:after="60" w:before="60"/>
      </w:pPr>
      <w:r>
        <w:rPr>
          <w:rFonts w:ascii="Arial" w:cs="Arial" w:eastAsia="Arial" w:hAnsi="Arial"/>
          <w:b w:val="false"/>
          <w:bCs w:val="false"/>
          <w:color w:val="2C2C2C"/>
          <w:sz w:val="22"/>
          <w:szCs w:val="22"/>
        </w:rPr>
        <w:t xml:space="preserve">Offer to present a 'Steel Construction Innovation' session to developer and HOA leadership teams as a value-add activity</w:t>
      </w:r>
    </w:p>
    <w:p>
      <w:pPr>
        <w:pStyle w:val="ListParagraph"/>
        <w:numPr>
          <w:ilvl w:val="0"/>
          <w:numId w:val="2"/>
        </w:numPr>
        <w:spacing w:after="60" w:before="60"/>
      </w:pPr>
      <w:r>
        <w:rPr>
          <w:rFonts w:ascii="Arial" w:cs="Arial" w:eastAsia="Arial" w:hAnsi="Arial"/>
          <w:b w:val="false"/>
          <w:bCs w:val="false"/>
          <w:color w:val="2C2C2C"/>
          <w:sz w:val="22"/>
          <w:szCs w:val="22"/>
        </w:rPr>
        <w:t xml:space="preserve">Partner with land brokers who specialize in selling lots within master-planned communities — they are the gatekeepers to buyer conversations</w:t>
      </w:r>
    </w:p>
    <w:p>
      <w:pPr>
        <w:spacing w:after="0" w:before="80"/>
      </w:pPr>
      <w:r>
        <w:t xml:space="preserve"/>
      </w:r>
    </w:p>
    <w:p>
      <w:pPr>
        <w:spacing w:after="80" w:before="240"/>
      </w:pPr>
      <w:r>
        <w:rPr>
          <w:rFonts w:ascii="Arial" w:cs="Arial" w:eastAsia="Arial" w:hAnsi="Arial"/>
          <w:b/>
          <w:bCs/>
          <w:color w:val="4A4A6A"/>
          <w:sz w:val="22"/>
          <w:szCs w:val="22"/>
        </w:rPr>
        <w:t xml:space="preserve">4.3  Model Home &amp; Showcase Strategy</w:t>
      </w:r>
    </w:p>
    <w:p>
      <w:pPr>
        <w:pStyle w:val="ListParagraph"/>
        <w:numPr>
          <w:ilvl w:val="0"/>
          <w:numId w:val="2"/>
        </w:numPr>
        <w:spacing w:after="60" w:before="60"/>
      </w:pPr>
      <w:r>
        <w:rPr>
          <w:rFonts w:ascii="Arial" w:cs="Arial" w:eastAsia="Arial" w:hAnsi="Arial"/>
          <w:b w:val="false"/>
          <w:bCs w:val="false"/>
          <w:color w:val="2C2C2C"/>
          <w:sz w:val="22"/>
          <w:szCs w:val="22"/>
        </w:rPr>
        <w:t xml:space="preserve">Explore opportunities to build a model home or spec home within a luxury subdivision as a showroom for TX Sparks' capabilities</w:t>
      </w:r>
    </w:p>
    <w:p>
      <w:pPr>
        <w:pStyle w:val="ListParagraph"/>
        <w:numPr>
          <w:ilvl w:val="0"/>
          <w:numId w:val="2"/>
        </w:numPr>
        <w:spacing w:after="60" w:before="60"/>
      </w:pPr>
      <w:r>
        <w:rPr>
          <w:rFonts w:ascii="Arial" w:cs="Arial" w:eastAsia="Arial" w:hAnsi="Arial"/>
          <w:b w:val="false"/>
          <w:bCs w:val="false"/>
          <w:color w:val="2C2C2C"/>
          <w:sz w:val="22"/>
          <w:szCs w:val="22"/>
        </w:rPr>
        <w:t xml:space="preserve">A model home is the single most effective sales tool in the custom home builder segment — it converts browsers into buyers</w:t>
      </w:r>
    </w:p>
    <w:p>
      <w:pPr>
        <w:pStyle w:val="ListParagraph"/>
        <w:numPr>
          <w:ilvl w:val="0"/>
          <w:numId w:val="2"/>
        </w:numPr>
        <w:spacing w:after="60" w:before="60"/>
      </w:pPr>
      <w:r>
        <w:rPr>
          <w:rFonts w:ascii="Arial" w:cs="Arial" w:eastAsia="Arial" w:hAnsi="Arial"/>
          <w:b w:val="false"/>
          <w:bCs w:val="false"/>
          <w:color w:val="2C2C2C"/>
          <w:sz w:val="22"/>
          <w:szCs w:val="22"/>
        </w:rPr>
        <w:t xml:space="preserve">Negotiate with a developer to build a model home at reduced or cost-recovery pricing in exchange for marketing partnership and preferred builder exclusivity</w:t>
      </w:r>
    </w:p>
    <w:p>
      <w:r>
        <w:br w:type="page"/>
      </w:r>
    </w:p>
    <w:p>
      <w:pPr>
        <w:pStyle w:val="Heading1"/>
        <w:pBdr>
          <w:bottom w:val="single" w:color="B8860B" w:sz="6" w:space="4"/>
        </w:pBdr>
        <w:spacing w:after="200" w:before="400"/>
      </w:pPr>
      <w:r>
        <w:rPr>
          <w:rFonts w:ascii="Arial" w:cs="Arial" w:eastAsia="Arial" w:hAnsi="Arial"/>
          <w:b/>
          <w:bCs/>
          <w:color w:val="1A1A2E"/>
          <w:sz w:val="32"/>
          <w:szCs w:val="32"/>
        </w:rPr>
        <w:t xml:space="preserve">CHALLENGE 05: SHOWCASING STEEL &amp; LGS AS A COMPETITIVE USP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B8860B" w:val="clear"/>
            <w:tcMar>
              <w:top w:type="dxa" w:w="100"/>
              <w:left w:type="dxa" w:w="140"/>
              <w:bottom w:type="dxa" w:w="100"/>
              <w:right w:type="dxa" w:w="140"/>
            </w:tcMar>
            <w:vAlign w:val="center"/>
          </w:tcPr>
          <w:p>
            <w:pPr>
              <w:jc w:val="center"/>
            </w:pPr>
            <w:r>
              <w:rPr>
                <w:rFonts w:ascii="Arial" w:cs="Arial" w:eastAsia="Arial" w:hAnsi="Arial"/>
                <w:b/>
                <w:bCs/>
                <w:color w:val="FFFFFF"/>
                <w:sz w:val="32"/>
                <w:szCs w:val="32"/>
              </w:rPr>
              <w:t xml:space="preserve">05</w:t>
            </w:r>
          </w:p>
        </w:tc>
        <w:tc>
          <w:tcPr>
            <w:tcW w:type="dxa" w:w="8660"/>
            <w:tcBorders>
              <w:top w:val="none" w:color="FFFFFF" w:sz="0"/>
              <w:left w:val="none" w:color="FFFFFF" w:sz="0"/>
              <w:bottom w:val="none" w:color="FFFFFF" w:sz="0"/>
              <w:right w:val="none" w:color="FFFFFF" w:sz="0"/>
            </w:tcBorders>
            <w:shd w:fill="1A1A2E" w:val="clear"/>
            <w:tcMar>
              <w:top w:type="dxa" w:w="100"/>
              <w:left w:type="dxa" w:w="200"/>
              <w:bottom w:type="dxa" w:w="100"/>
              <w:right w:type="dxa" w:w="140"/>
            </w:tcMar>
          </w:tcPr>
          <w:p>
            <w:r>
              <w:rPr>
                <w:rFonts w:ascii="Arial" w:cs="Arial" w:eastAsia="Arial" w:hAnsi="Arial"/>
                <w:b/>
                <w:bCs/>
                <w:color w:val="FFFFFF"/>
                <w:sz w:val="26"/>
                <w:szCs w:val="26"/>
              </w:rPr>
              <w:t xml:space="preserve">Core Competitive Differentiator Is Insufficiently Communicated</w:t>
            </w:r>
          </w:p>
          <w:p>
            <w:r>
              <w:rPr>
                <w:rFonts w:ascii="Arial" w:cs="Arial" w:eastAsia="Arial" w:hAnsi="Arial"/>
                <w:i/>
                <w:iCs/>
                <w:color w:val="BBBBCC"/>
                <w:sz w:val="20"/>
                <w:szCs w:val="20"/>
              </w:rPr>
              <w:t xml:space="preserve">Structural Steel and LGS capability is TX Sparks' most powerful USP — currently underutilized in marketing</w:t>
            </w:r>
          </w:p>
        </w:tc>
      </w:tr>
    </w:tbl>
    <w:p>
      <w:pPr>
        <w:spacing w:after="0" w:before="140"/>
      </w:pPr>
      <w:r>
        <w:t xml:space="preserve"/>
      </w:r>
    </w:p>
    <w:p>
      <w:pPr>
        <w:spacing w:after="80" w:before="280"/>
      </w:pPr>
      <w:r>
        <w:rPr>
          <w:rFonts w:ascii="Arial" w:cs="Arial" w:eastAsia="Arial" w:hAnsi="Arial"/>
          <w:b/>
          <w:bCs/>
          <w:color w:val="FFFFFF"/>
          <w:sz w:val="20"/>
          <w:szCs w:val="20"/>
          <w:shd w:fill="B8860B" w:val="clear"/>
        </w:rPr>
        <w:t xml:space="preserve">  THE PROBLEM  </w:t>
      </w:r>
    </w:p>
    <w:p>
      <w:pPr>
        <w:spacing w:after="80" w:before="60"/>
      </w:pPr>
      <w:r>
        <w:rPr>
          <w:rFonts w:ascii="Arial" w:cs="Arial" w:eastAsia="Arial" w:hAnsi="Arial"/>
          <w:color w:val="2C2C2C"/>
          <w:sz w:val="22"/>
          <w:szCs w:val="22"/>
        </w:rPr>
        <w:t xml:space="preserve">TX Sparks Luxury Homes possesses a genuinely differentiated construction capability: the ability to build luxury homes using Structural Steel and Light Gauge Steel (LGS) systems more efficiently and cost-effectively than traditional custom home builders. This is a rare and valuable advantage in the Texas custom home market, where the majority of competitors still rely on wood-framing systems.</w:t>
      </w:r>
    </w:p>
    <w:p>
      <w:pPr>
        <w:spacing w:after="0" w:before="80"/>
      </w:pPr>
      <w:r>
        <w:t xml:space="preserve"/>
      </w:r>
    </w:p>
    <w:p>
      <w:pPr>
        <w:spacing w:after="80" w:before="60"/>
      </w:pPr>
      <w:r>
        <w:rPr>
          <w:rFonts w:ascii="Arial" w:cs="Arial" w:eastAsia="Arial" w:hAnsi="Arial"/>
          <w:color w:val="2C2C2C"/>
          <w:sz w:val="22"/>
          <w:szCs w:val="22"/>
        </w:rPr>
        <w:t xml:space="preserve">However, this USP is not being communicated with the clarity, consistency, and depth that it deserves. Buyers in the luxury segment need to understand not just that TX Sparks builds with steel — but WHY that matters to them: superior durability, resistance to Texas weather events (hail, wind, fire), lower long-term maintenance costs, faster build timelines, and architectural design flexibility that wood cannot match.</w:t>
      </w:r>
    </w:p>
    <w:p>
      <w:pPr>
        <w:spacing w:after="0" w:before="140"/>
      </w:pPr>
      <w:r>
        <w:t xml:space="preserve"/>
      </w:r>
    </w:p>
    <w:p>
      <w:pPr>
        <w:spacing w:after="80" w:before="280"/>
      </w:pPr>
      <w:r>
        <w:rPr>
          <w:rFonts w:ascii="Arial" w:cs="Arial" w:eastAsia="Arial" w:hAnsi="Arial"/>
          <w:b/>
          <w:bCs/>
          <w:color w:val="FFFFFF"/>
          <w:sz w:val="20"/>
          <w:szCs w:val="20"/>
          <w:shd w:fill="B8860B" w:val="clear"/>
        </w:rPr>
        <w:t xml:space="preserve">  SOLUTIONS &amp; ACTION PLAN  </w:t>
      </w:r>
    </w:p>
    <w:p>
      <w:pPr>
        <w:spacing w:after="0" w:before="80"/>
      </w:pPr>
      <w:r>
        <w:t xml:space="preserve"/>
      </w:r>
    </w:p>
    <w:p>
      <w:pPr>
        <w:spacing w:after="80" w:before="240"/>
      </w:pPr>
      <w:r>
        <w:rPr>
          <w:rFonts w:ascii="Arial" w:cs="Arial" w:eastAsia="Arial" w:hAnsi="Arial"/>
          <w:b/>
          <w:bCs/>
          <w:color w:val="4A4A6A"/>
          <w:sz w:val="22"/>
          <w:szCs w:val="22"/>
        </w:rPr>
        <w:t xml:space="preserve">5.1  LGS vs. Traditional Wood — Case Study Production</w:t>
      </w:r>
    </w:p>
    <w:p>
      <w:pPr>
        <w:pStyle w:val="ListParagraph"/>
        <w:numPr>
          <w:ilvl w:val="0"/>
          <w:numId w:val="2"/>
        </w:numPr>
        <w:spacing w:after="60" w:before="60"/>
      </w:pPr>
      <w:r>
        <w:rPr>
          <w:rFonts w:ascii="Arial" w:cs="Arial" w:eastAsia="Arial" w:hAnsi="Arial"/>
          <w:b w:val="false"/>
          <w:bCs w:val="false"/>
          <w:color w:val="2C2C2C"/>
          <w:sz w:val="22"/>
          <w:szCs w:val="22"/>
        </w:rPr>
        <w:t xml:space="preserve">Immediately prioritize and resource the LGS vs. Traditional Wood Construction case study (currently in development per the SMM report)</w:t>
      </w:r>
    </w:p>
    <w:p>
      <w:pPr>
        <w:pStyle w:val="ListParagraph"/>
        <w:numPr>
          <w:ilvl w:val="0"/>
          <w:numId w:val="2"/>
        </w:numPr>
        <w:spacing w:after="60" w:before="60"/>
      </w:pPr>
      <w:r>
        <w:rPr>
          <w:rFonts w:ascii="Arial" w:cs="Arial" w:eastAsia="Arial" w:hAnsi="Arial"/>
          <w:b w:val="false"/>
          <w:bCs w:val="false"/>
          <w:color w:val="2C2C2C"/>
          <w:sz w:val="22"/>
          <w:szCs w:val="22"/>
        </w:rPr>
        <w:t xml:space="preserve">Structure the case study as a data-rich, visually compelling PDF and social media carousel: side-by-side comparison of cost, timeline, durability, maintenance, and ROI</w:t>
      </w:r>
    </w:p>
    <w:p>
      <w:pPr>
        <w:pStyle w:val="ListParagraph"/>
        <w:numPr>
          <w:ilvl w:val="0"/>
          <w:numId w:val="2"/>
        </w:numPr>
        <w:spacing w:after="60" w:before="60"/>
      </w:pPr>
      <w:r>
        <w:rPr>
          <w:rFonts w:ascii="Arial" w:cs="Arial" w:eastAsia="Arial" w:hAnsi="Arial"/>
          <w:b w:val="false"/>
          <w:bCs w:val="false"/>
          <w:color w:val="2C2C2C"/>
          <w:sz w:val="22"/>
          <w:szCs w:val="22"/>
        </w:rPr>
        <w:t xml:space="preserve">Include real data from the completed Austin project: actual build timeline, cost per square foot, structural test results, and homeowner feedback</w:t>
      </w:r>
    </w:p>
    <w:p>
      <w:pPr>
        <w:pStyle w:val="ListParagraph"/>
        <w:numPr>
          <w:ilvl w:val="0"/>
          <w:numId w:val="2"/>
        </w:numPr>
        <w:spacing w:after="60" w:before="60"/>
      </w:pPr>
      <w:r>
        <w:rPr>
          <w:rFonts w:ascii="Arial" w:cs="Arial" w:eastAsia="Arial" w:hAnsi="Arial"/>
          <w:b w:val="false"/>
          <w:bCs w:val="false"/>
          <w:color w:val="2C2C2C"/>
          <w:sz w:val="22"/>
          <w:szCs w:val="22"/>
        </w:rPr>
        <w:t xml:space="preserve">Distribute across all platforms: LinkedIn article, Instagram carousel, YouTube video, website landing page, and email newsletter</w:t>
      </w:r>
    </w:p>
    <w:p>
      <w:pPr>
        <w:spacing w:after="0" w:before="80"/>
      </w:pPr>
      <w:r>
        <w:t xml:space="preserve"/>
      </w:r>
    </w:p>
    <w:p>
      <w:pPr>
        <w:spacing w:after="80" w:before="240"/>
      </w:pPr>
      <w:r>
        <w:rPr>
          <w:rFonts w:ascii="Arial" w:cs="Arial" w:eastAsia="Arial" w:hAnsi="Arial"/>
          <w:b/>
          <w:bCs/>
          <w:color w:val="4A4A6A"/>
          <w:sz w:val="22"/>
          <w:szCs w:val="22"/>
        </w:rPr>
        <w:t xml:space="preserve">5.2  Dedicated Steel &amp; LGS Content Pillar</w:t>
      </w:r>
    </w:p>
    <w:p>
      <w:pPr>
        <w:pStyle w:val="ListParagraph"/>
        <w:numPr>
          <w:ilvl w:val="0"/>
          <w:numId w:val="2"/>
        </w:numPr>
        <w:spacing w:after="60" w:before="60"/>
      </w:pPr>
      <w:r>
        <w:rPr>
          <w:rFonts w:ascii="Arial" w:cs="Arial" w:eastAsia="Arial" w:hAnsi="Arial"/>
          <w:b w:val="false"/>
          <w:bCs w:val="false"/>
          <w:color w:val="2C2C2C"/>
          <w:sz w:val="22"/>
          <w:szCs w:val="22"/>
        </w:rPr>
        <w:t xml:space="preserve">Create a monthly 'Steel Spotlight' content series: one post per week dedicated exclusively to steel construction education, comparison content, and project-specific steel highlights</w:t>
      </w:r>
    </w:p>
    <w:p>
      <w:pPr>
        <w:pStyle w:val="ListParagraph"/>
        <w:numPr>
          <w:ilvl w:val="0"/>
          <w:numId w:val="2"/>
        </w:numPr>
        <w:spacing w:after="60" w:before="60"/>
      </w:pPr>
      <w:r>
        <w:rPr>
          <w:rFonts w:ascii="Arial" w:cs="Arial" w:eastAsia="Arial" w:hAnsi="Arial"/>
          <w:b w:val="false"/>
          <w:bCs w:val="false"/>
          <w:color w:val="2C2C2C"/>
          <w:sz w:val="22"/>
          <w:szCs w:val="22"/>
        </w:rPr>
        <w:t xml:space="preserve">Film a 3–5 minute 'Inside the Steel Frame' documentary-style video walkthrough of the construction process — this type of content builds deep credibility with technically-minded luxury buyers</w:t>
      </w:r>
    </w:p>
    <w:p>
      <w:pPr>
        <w:pStyle w:val="ListParagraph"/>
        <w:numPr>
          <w:ilvl w:val="0"/>
          <w:numId w:val="2"/>
        </w:numPr>
        <w:spacing w:after="60" w:before="60"/>
      </w:pPr>
      <w:r>
        <w:rPr>
          <w:rFonts w:ascii="Arial" w:cs="Arial" w:eastAsia="Arial" w:hAnsi="Arial"/>
          <w:b w:val="false"/>
          <w:bCs w:val="false"/>
          <w:color w:val="2C2C2C"/>
          <w:sz w:val="22"/>
          <w:szCs w:val="22"/>
        </w:rPr>
        <w:t xml:space="preserve">Develop an FAQ document and video series addressing the top 10 questions buyers have about steel homes: cost, resale value, insurance, design flexibility, and build time</w:t>
      </w:r>
    </w:p>
    <w:p>
      <w:pPr>
        <w:spacing w:after="0" w:before="80"/>
      </w:pPr>
      <w:r>
        <w:t xml:space="preserve"/>
      </w:r>
    </w:p>
    <w:p>
      <w:pPr>
        <w:spacing w:after="80" w:before="240"/>
      </w:pPr>
      <w:r>
        <w:rPr>
          <w:rFonts w:ascii="Arial" w:cs="Arial" w:eastAsia="Arial" w:hAnsi="Arial"/>
          <w:b/>
          <w:bCs/>
          <w:color w:val="4A4A6A"/>
          <w:sz w:val="22"/>
          <w:szCs w:val="22"/>
        </w:rPr>
        <w:t xml:space="preserve">5.3  Real Estate Agent &amp; Architect Education</w:t>
      </w:r>
    </w:p>
    <w:p>
      <w:pPr>
        <w:pStyle w:val="ListParagraph"/>
        <w:numPr>
          <w:ilvl w:val="0"/>
          <w:numId w:val="2"/>
        </w:numPr>
        <w:spacing w:after="60" w:before="60"/>
      </w:pPr>
      <w:r>
        <w:rPr>
          <w:rFonts w:ascii="Arial" w:cs="Arial" w:eastAsia="Arial" w:hAnsi="Arial"/>
          <w:b w:val="false"/>
          <w:bCs w:val="false"/>
          <w:color w:val="2C2C2C"/>
          <w:sz w:val="22"/>
          <w:szCs w:val="22"/>
        </w:rPr>
        <w:t xml:space="preserve">Host a 'Steel Construction for Luxury Homes' lunch-and-learn or webinar specifically for real estate agents and architects in the Austin market</w:t>
      </w:r>
    </w:p>
    <w:p>
      <w:pPr>
        <w:pStyle w:val="ListParagraph"/>
        <w:numPr>
          <w:ilvl w:val="0"/>
          <w:numId w:val="2"/>
        </w:numPr>
        <w:spacing w:after="60" w:before="60"/>
      </w:pPr>
      <w:r>
        <w:rPr>
          <w:rFonts w:ascii="Arial" w:cs="Arial" w:eastAsia="Arial" w:hAnsi="Arial"/>
          <w:b w:val="false"/>
          <w:bCs w:val="false"/>
          <w:color w:val="2C2C2C"/>
          <w:sz w:val="22"/>
          <w:szCs w:val="22"/>
        </w:rPr>
        <w:t xml:space="preserve">Provide agents with a shareable one-page 'Why Steel?' PDF they can send to their HNI clients considering a custom build</w:t>
      </w:r>
    </w:p>
    <w:p>
      <w:pPr>
        <w:pStyle w:val="ListParagraph"/>
        <w:numPr>
          <w:ilvl w:val="0"/>
          <w:numId w:val="2"/>
        </w:numPr>
        <w:spacing w:after="60" w:before="60"/>
      </w:pPr>
      <w:r>
        <w:rPr>
          <w:rFonts w:ascii="Arial" w:cs="Arial" w:eastAsia="Arial" w:hAnsi="Arial"/>
          <w:b w:val="false"/>
          <w:bCs w:val="false"/>
          <w:color w:val="2C2C2C"/>
          <w:sz w:val="22"/>
          <w:szCs w:val="22"/>
        </w:rPr>
        <w:t xml:space="preserve">Partner with structural engineers and LGS suppliers for co-branded educational content that adds third-party credibility</w:t>
      </w:r>
    </w:p>
    <w:p>
      <w:r>
        <w:br w:type="page"/>
      </w:r>
    </w:p>
    <w:p>
      <w:pPr>
        <w:pStyle w:val="Heading1"/>
        <w:pBdr>
          <w:bottom w:val="single" w:color="B8860B" w:sz="6" w:space="4"/>
        </w:pBdr>
        <w:spacing w:after="200" w:before="400"/>
      </w:pPr>
      <w:r>
        <w:rPr>
          <w:rFonts w:ascii="Arial" w:cs="Arial" w:eastAsia="Arial" w:hAnsi="Arial"/>
          <w:b/>
          <w:bCs/>
          <w:color w:val="1A1A2E"/>
          <w:sz w:val="32"/>
          <w:szCs w:val="32"/>
        </w:rPr>
        <w:t xml:space="preserve">IMPLEMENTATION ROADMAP</w:t>
      </w:r>
    </w:p>
    <w:p>
      <w:pPr>
        <w:spacing w:after="80" w:before="60"/>
      </w:pPr>
      <w:r>
        <w:rPr>
          <w:rFonts w:ascii="Arial" w:cs="Arial" w:eastAsia="Arial" w:hAnsi="Arial"/>
          <w:color w:val="2C2C2C"/>
          <w:sz w:val="22"/>
          <w:szCs w:val="22"/>
        </w:rPr>
        <w:t xml:space="preserve">The following phased roadmap consolidates all recommended actions across the five challenge areas into a sequenced 90-day plan with clear ownership and expected outcomes: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20"/>
            </w:tcMar>
          </w:tcPr>
          <w:p>
            <w:r>
              <w:rPr>
                <w:rFonts w:ascii="Arial" w:cs="Arial" w:eastAsia="Arial" w:hAnsi="Arial"/>
                <w:b/>
                <w:bCs/>
                <w:color w:val="FFFFFF"/>
                <w:sz w:val="21"/>
                <w:szCs w:val="21"/>
              </w:rPr>
              <w:t xml:space="preserve">Phase</w:t>
            </w:r>
          </w:p>
        </w:tc>
        <w:tc>
          <w:tcPr>
            <w:tcW w:type="dxa" w:w="2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20"/>
            </w:tcMar>
          </w:tcPr>
          <w:p>
            <w:r>
              <w:rPr>
                <w:rFonts w:ascii="Arial" w:cs="Arial" w:eastAsia="Arial" w:hAnsi="Arial"/>
                <w:b/>
                <w:bCs/>
                <w:color w:val="FFFFFF"/>
                <w:sz w:val="21"/>
                <w:szCs w:val="21"/>
              </w:rPr>
              <w:t xml:space="preserve">Timeline</w:t>
            </w:r>
          </w:p>
        </w:tc>
        <w:tc>
          <w:tcPr>
            <w:tcW w:type="dxa" w:w="53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20"/>
            </w:tcMar>
          </w:tcPr>
          <w:p>
            <w:r>
              <w:rPr>
                <w:rFonts w:ascii="Arial" w:cs="Arial" w:eastAsia="Arial" w:hAnsi="Arial"/>
                <w:b/>
                <w:bCs/>
                <w:color w:val="FFFFFF"/>
                <w:sz w:val="21"/>
                <w:szCs w:val="21"/>
              </w:rPr>
              <w:t xml:space="preserve">Key Actions</w:t>
            </w:r>
          </w:p>
        </w:tc>
      </w:tr>
      <w:tr>
        <w:tc>
          <w:tcPr>
            <w:tcW w:type="dxa" w:w="1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20"/>
            </w:tcMar>
            <w:vAlign w:val="center"/>
          </w:tcPr>
          <w:p>
            <w:pPr>
              <w:jc w:val="center"/>
            </w:pPr>
            <w:r>
              <w:rPr>
                <w:rFonts w:ascii="Arial" w:cs="Arial" w:eastAsia="Arial" w:hAnsi="Arial"/>
                <w:b/>
                <w:bCs/>
                <w:color w:val="FFFFFF"/>
                <w:sz w:val="21"/>
                <w:szCs w:val="21"/>
              </w:rPr>
              <w:t xml:space="preserve">IMMEDIATE
0–30 Days</w:t>
            </w:r>
          </w:p>
        </w:tc>
        <w:tc>
          <w:tcPr>
            <w:tcW w:type="dxa" w:w="2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20"/>
            </w:tcMar>
          </w:tcPr>
          <w:p>
            <w:r>
              <w:rPr>
                <w:rFonts w:ascii="Arial" w:cs="Arial" w:eastAsia="Arial" w:hAnsi="Arial"/>
                <w:b/>
                <w:bCs/>
                <w:color w:val="1A1A2E"/>
                <w:sz w:val="20"/>
                <w:szCs w:val="20"/>
              </w:rPr>
              <w:t xml:space="preserve">Month 1</w:t>
            </w:r>
          </w:p>
        </w:tc>
        <w:tc>
          <w:tcPr>
            <w:tcW w:type="dxa" w:w="53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20"/>
            </w:tcMar>
          </w:tcPr>
          <w:p>
            <w:pPr>
              <w:pStyle w:val="ListParagraph"/>
              <w:numPr>
                <w:ilvl w:val="0"/>
                <w:numId w:val="2"/>
              </w:numPr>
            </w:pPr>
            <w:r>
              <w:rPr>
                <w:rFonts w:ascii="Arial" w:cs="Arial" w:eastAsia="Arial" w:hAnsi="Arial"/>
                <w:color w:val="2C2C2C"/>
                <w:sz w:val="20"/>
                <w:szCs w:val="20"/>
              </w:rPr>
              <w:t xml:space="preserve">Commission professional photoshoot + drone video of completed Austin project</w:t>
            </w:r>
          </w:p>
          <w:p>
            <w:pPr>
              <w:pStyle w:val="ListParagraph"/>
              <w:numPr>
                <w:ilvl w:val="0"/>
                <w:numId w:val="2"/>
              </w:numPr>
            </w:pPr>
            <w:r>
              <w:rPr>
                <w:rFonts w:ascii="Arial" w:cs="Arial" w:eastAsia="Arial" w:hAnsi="Arial"/>
                <w:color w:val="2C2C2C"/>
                <w:sz w:val="20"/>
                <w:szCs w:val="20"/>
              </w:rPr>
              <w:t xml:space="preserve">Assign Cold Outreach Specialist for Real Estate Agent database outreach</w:t>
            </w:r>
          </w:p>
          <w:p>
            <w:pPr>
              <w:pStyle w:val="ListParagraph"/>
              <w:numPr>
                <w:ilvl w:val="0"/>
                <w:numId w:val="2"/>
              </w:numPr>
            </w:pPr>
            <w:r>
              <w:rPr>
                <w:rFonts w:ascii="Arial" w:cs="Arial" w:eastAsia="Arial" w:hAnsi="Arial"/>
                <w:color w:val="2C2C2C"/>
                <w:sz w:val="20"/>
                <w:szCs w:val="20"/>
              </w:rPr>
              <w:t xml:space="preserve">Launch Meta + LinkedIn paid ad campaigns — brand awareness focus</w:t>
            </w:r>
          </w:p>
          <w:p>
            <w:pPr>
              <w:pStyle w:val="ListParagraph"/>
              <w:numPr>
                <w:ilvl w:val="0"/>
                <w:numId w:val="2"/>
              </w:numPr>
            </w:pPr>
            <w:r>
              <w:rPr>
                <w:rFonts w:ascii="Arial" w:cs="Arial" w:eastAsia="Arial" w:hAnsi="Arial"/>
                <w:color w:val="2C2C2C"/>
                <w:sz w:val="20"/>
                <w:szCs w:val="20"/>
              </w:rPr>
              <w:t xml:space="preserve">Publish Bluewater Residence Case Study (June 18 target)</w:t>
            </w:r>
          </w:p>
          <w:p>
            <w:pPr>
              <w:pStyle w:val="ListParagraph"/>
              <w:numPr>
                <w:ilvl w:val="0"/>
                <w:numId w:val="2"/>
              </w:numPr>
            </w:pPr>
            <w:r>
              <w:rPr>
                <w:rFonts w:ascii="Arial" w:cs="Arial" w:eastAsia="Arial" w:hAnsi="Arial"/>
                <w:color w:val="2C2C2C"/>
                <w:sz w:val="20"/>
                <w:szCs w:val="20"/>
              </w:rPr>
              <w:t xml:space="preserve">Install CRM and configure lead capture on website</w:t>
            </w:r>
          </w:p>
          <w:p>
            <w:pPr>
              <w:pStyle w:val="ListParagraph"/>
              <w:numPr>
                <w:ilvl w:val="0"/>
                <w:numId w:val="2"/>
              </w:numPr>
            </w:pPr>
            <w:r>
              <w:rPr>
                <w:rFonts w:ascii="Arial" w:cs="Arial" w:eastAsia="Arial" w:hAnsi="Arial"/>
                <w:color w:val="2C2C2C"/>
                <w:sz w:val="20"/>
                <w:szCs w:val="20"/>
              </w:rPr>
              <w:t xml:space="preserve">Begin LGS vs. Wood case study production — assign writer and data sources</w:t>
            </w:r>
          </w:p>
          <w:p>
            <w:pPr>
              <w:pStyle w:val="ListParagraph"/>
              <w:numPr>
                <w:ilvl w:val="0"/>
                <w:numId w:val="2"/>
              </w:numPr>
            </w:pPr>
            <w:r>
              <w:rPr>
                <w:rFonts w:ascii="Arial" w:cs="Arial" w:eastAsia="Arial" w:hAnsi="Arial"/>
                <w:color w:val="2C2C2C"/>
                <w:sz w:val="20"/>
                <w:szCs w:val="20"/>
              </w:rPr>
              <w:t xml:space="preserve">Audit all social media handles for brand consistency and quality</w:t>
            </w:r>
          </w:p>
        </w:tc>
      </w:tr>
      <w:tr>
        <w:tc>
          <w:tcPr>
            <w:tcW w:type="dxa" w:w="1800"/>
            <w:tcBorders>
              <w:top w:val="single" w:color="CCCCCC" w:sz="1"/>
              <w:left w:val="single" w:color="CCCCCC" w:sz="1"/>
              <w:bottom w:val="single" w:color="CCCCCC" w:sz="1"/>
              <w:right w:val="single" w:color="CCCCCC" w:sz="1"/>
            </w:tcBorders>
            <w:shd w:fill="4A4A6A" w:val="clear"/>
            <w:tcMar>
              <w:top w:type="dxa" w:w="100"/>
              <w:left w:type="dxa" w:w="140"/>
              <w:bottom w:type="dxa" w:w="100"/>
              <w:right w:type="dxa" w:w="120"/>
            </w:tcMar>
            <w:vAlign w:val="center"/>
          </w:tcPr>
          <w:p>
            <w:pPr>
              <w:jc w:val="center"/>
            </w:pPr>
            <w:r>
              <w:rPr>
                <w:rFonts w:ascii="Arial" w:cs="Arial" w:eastAsia="Arial" w:hAnsi="Arial"/>
                <w:b/>
                <w:bCs/>
                <w:color w:val="FFFFFF"/>
                <w:sz w:val="21"/>
                <w:szCs w:val="21"/>
              </w:rPr>
              <w:t xml:space="preserve">SHORT-TERM
30–60 Days</w:t>
            </w:r>
          </w:p>
        </w:tc>
        <w:tc>
          <w:tcPr>
            <w:tcW w:type="dxa" w:w="2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20"/>
            </w:tcMar>
          </w:tcPr>
          <w:p>
            <w:r>
              <w:rPr>
                <w:rFonts w:ascii="Arial" w:cs="Arial" w:eastAsia="Arial" w:hAnsi="Arial"/>
                <w:b/>
                <w:bCs/>
                <w:color w:val="1A1A2E"/>
                <w:sz w:val="20"/>
                <w:szCs w:val="20"/>
              </w:rPr>
              <w:t xml:space="preserve">Month 2</w:t>
            </w:r>
          </w:p>
        </w:tc>
        <w:tc>
          <w:tcPr>
            <w:tcW w:type="dxa" w:w="53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20"/>
            </w:tcMar>
          </w:tcPr>
          <w:p>
            <w:pPr>
              <w:pStyle w:val="ListParagraph"/>
              <w:numPr>
                <w:ilvl w:val="0"/>
                <w:numId w:val="2"/>
              </w:numPr>
            </w:pPr>
            <w:r>
              <w:rPr>
                <w:rFonts w:ascii="Arial" w:cs="Arial" w:eastAsia="Arial" w:hAnsi="Arial"/>
                <w:color w:val="2C2C2C"/>
                <w:sz w:val="20"/>
                <w:szCs w:val="20"/>
              </w:rPr>
              <w:t xml:space="preserve">Identify top 10 luxury subdivisions and submit Preferred Builder applications</w:t>
            </w:r>
          </w:p>
          <w:p>
            <w:pPr>
              <w:pStyle w:val="ListParagraph"/>
              <w:numPr>
                <w:ilvl w:val="0"/>
                <w:numId w:val="2"/>
              </w:numPr>
            </w:pPr>
            <w:r>
              <w:rPr>
                <w:rFonts w:ascii="Arial" w:cs="Arial" w:eastAsia="Arial" w:hAnsi="Arial"/>
                <w:color w:val="2C2C2C"/>
                <w:sz w:val="20"/>
                <w:szCs w:val="20"/>
              </w:rPr>
              <w:t xml:space="preserve">Launch retargeting ad campaigns for website visitors</w:t>
            </w:r>
          </w:p>
          <w:p>
            <w:pPr>
              <w:pStyle w:val="ListParagraph"/>
              <w:numPr>
                <w:ilvl w:val="0"/>
                <w:numId w:val="2"/>
              </w:numPr>
            </w:pPr>
            <w:r>
              <w:rPr>
                <w:rFonts w:ascii="Arial" w:cs="Arial" w:eastAsia="Arial" w:hAnsi="Arial"/>
                <w:color w:val="2C2C2C"/>
                <w:sz w:val="20"/>
                <w:szCs w:val="20"/>
              </w:rPr>
              <w:t xml:space="preserve">Publish LGS vs. Wood case study across all platforms</w:t>
            </w:r>
          </w:p>
          <w:p>
            <w:pPr>
              <w:pStyle w:val="ListParagraph"/>
              <w:numPr>
                <w:ilvl w:val="0"/>
                <w:numId w:val="2"/>
              </w:numPr>
            </w:pPr>
            <w:r>
              <w:rPr>
                <w:rFonts w:ascii="Arial" w:cs="Arial" w:eastAsia="Arial" w:hAnsi="Arial"/>
                <w:color w:val="2C2C2C"/>
                <w:sz w:val="20"/>
                <w:szCs w:val="20"/>
              </w:rPr>
              <w:t xml:space="preserve">Begin systematic outreach to 50 real estate agents per month</w:t>
            </w:r>
          </w:p>
          <w:p>
            <w:pPr>
              <w:pStyle w:val="ListParagraph"/>
              <w:numPr>
                <w:ilvl w:val="0"/>
                <w:numId w:val="2"/>
              </w:numPr>
            </w:pPr>
            <w:r>
              <w:rPr>
                <w:rFonts w:ascii="Arial" w:cs="Arial" w:eastAsia="Arial" w:hAnsi="Arial"/>
                <w:color w:val="2C2C2C"/>
                <w:sz w:val="20"/>
                <w:szCs w:val="20"/>
              </w:rPr>
              <w:t xml:space="preserve">Launch Steel Spotlight content series on social media</w:t>
            </w:r>
          </w:p>
          <w:p>
            <w:pPr>
              <w:pStyle w:val="ListParagraph"/>
              <w:numPr>
                <w:ilvl w:val="0"/>
                <w:numId w:val="2"/>
              </w:numPr>
            </w:pPr>
            <w:r>
              <w:rPr>
                <w:rFonts w:ascii="Arial" w:cs="Arial" w:eastAsia="Arial" w:hAnsi="Arial"/>
                <w:color w:val="2C2C2C"/>
                <w:sz w:val="20"/>
                <w:szCs w:val="20"/>
              </w:rPr>
              <w:t xml:space="preserve">Host first 'Steel Construction' lunch-and-learn for real estate agents</w:t>
            </w:r>
          </w:p>
          <w:p>
            <w:pPr>
              <w:pStyle w:val="ListParagraph"/>
              <w:numPr>
                <w:ilvl w:val="0"/>
                <w:numId w:val="2"/>
              </w:numPr>
            </w:pPr>
            <w:r>
              <w:rPr>
                <w:rFonts w:ascii="Arial" w:cs="Arial" w:eastAsia="Arial" w:hAnsi="Arial"/>
                <w:color w:val="2C2C2C"/>
                <w:sz w:val="20"/>
                <w:szCs w:val="20"/>
              </w:rPr>
              <w:t xml:space="preserve">Set up Google Analytics 4, Meta Pixel, and conversion tracking</w:t>
            </w:r>
          </w:p>
        </w:tc>
      </w:tr>
      <w:tr>
        <w:tc>
          <w:tcPr>
            <w:tcW w:type="dxa" w:w="1800"/>
            <w:tcBorders>
              <w:top w:val="single" w:color="CCCCCC" w:sz="1"/>
              <w:left w:val="single" w:color="CCCCCC" w:sz="1"/>
              <w:bottom w:val="single" w:color="CCCCCC" w:sz="1"/>
              <w:right w:val="single" w:color="CCCCCC" w:sz="1"/>
            </w:tcBorders>
            <w:shd w:fill="B8860B" w:val="clear"/>
            <w:tcMar>
              <w:top w:type="dxa" w:w="100"/>
              <w:left w:type="dxa" w:w="140"/>
              <w:bottom w:type="dxa" w:w="100"/>
              <w:right w:type="dxa" w:w="120"/>
            </w:tcMar>
            <w:vAlign w:val="center"/>
          </w:tcPr>
          <w:p>
            <w:pPr>
              <w:jc w:val="center"/>
            </w:pPr>
            <w:r>
              <w:rPr>
                <w:rFonts w:ascii="Arial" w:cs="Arial" w:eastAsia="Arial" w:hAnsi="Arial"/>
                <w:b/>
                <w:bCs/>
                <w:color w:val="FFFFFF"/>
                <w:sz w:val="21"/>
                <w:szCs w:val="21"/>
              </w:rPr>
              <w:t xml:space="preserve">GROWTH
60–90 Days</w:t>
            </w:r>
          </w:p>
        </w:tc>
        <w:tc>
          <w:tcPr>
            <w:tcW w:type="dxa" w:w="2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20"/>
            </w:tcMar>
          </w:tcPr>
          <w:p>
            <w:r>
              <w:rPr>
                <w:rFonts w:ascii="Arial" w:cs="Arial" w:eastAsia="Arial" w:hAnsi="Arial"/>
                <w:b/>
                <w:bCs/>
                <w:color w:val="1A1A2E"/>
                <w:sz w:val="20"/>
                <w:szCs w:val="20"/>
              </w:rPr>
              <w:t xml:space="preserve">Month 3</w:t>
            </w:r>
          </w:p>
        </w:tc>
        <w:tc>
          <w:tcPr>
            <w:tcW w:type="dxa" w:w="53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20"/>
            </w:tcMar>
          </w:tcPr>
          <w:p>
            <w:pPr>
              <w:pStyle w:val="ListParagraph"/>
              <w:numPr>
                <w:ilvl w:val="0"/>
                <w:numId w:val="2"/>
              </w:numPr>
            </w:pPr>
            <w:r>
              <w:rPr>
                <w:rFonts w:ascii="Arial" w:cs="Arial" w:eastAsia="Arial" w:hAnsi="Arial"/>
                <w:color w:val="2C2C2C"/>
                <w:sz w:val="20"/>
                <w:szCs w:val="20"/>
              </w:rPr>
              <w:t xml:space="preserve">Pursue developer relationships in 3+ master-planned communities</w:t>
            </w:r>
          </w:p>
          <w:p>
            <w:pPr>
              <w:pStyle w:val="ListParagraph"/>
              <w:numPr>
                <w:ilvl w:val="0"/>
                <w:numId w:val="2"/>
              </w:numPr>
            </w:pPr>
            <w:r>
              <w:rPr>
                <w:rFonts w:ascii="Arial" w:cs="Arial" w:eastAsia="Arial" w:hAnsi="Arial"/>
                <w:color w:val="2C2C2C"/>
                <w:sz w:val="20"/>
                <w:szCs w:val="20"/>
              </w:rPr>
              <w:t xml:space="preserve">Host first private HNI showcase event for pre-qualified prospects</w:t>
            </w:r>
          </w:p>
          <w:p>
            <w:pPr>
              <w:pStyle w:val="ListParagraph"/>
              <w:numPr>
                <w:ilvl w:val="0"/>
                <w:numId w:val="2"/>
              </w:numPr>
            </w:pPr>
            <w:r>
              <w:rPr>
                <w:rFonts w:ascii="Arial" w:cs="Arial" w:eastAsia="Arial" w:hAnsi="Arial"/>
                <w:color w:val="2C2C2C"/>
                <w:sz w:val="20"/>
                <w:szCs w:val="20"/>
              </w:rPr>
              <w:t xml:space="preserve">Launch email newsletter to agent and developer subscriber list</w:t>
            </w:r>
          </w:p>
          <w:p>
            <w:pPr>
              <w:pStyle w:val="ListParagraph"/>
              <w:numPr>
                <w:ilvl w:val="0"/>
                <w:numId w:val="2"/>
              </w:numPr>
            </w:pPr>
            <w:r>
              <w:rPr>
                <w:rFonts w:ascii="Arial" w:cs="Arial" w:eastAsia="Arial" w:hAnsi="Arial"/>
                <w:color w:val="2C2C2C"/>
                <w:sz w:val="20"/>
                <w:szCs w:val="20"/>
              </w:rPr>
              <w:t xml:space="preserve">Formalize Real Estate Agent Referral Program with financial incentives</w:t>
            </w:r>
          </w:p>
          <w:p>
            <w:pPr>
              <w:pStyle w:val="ListParagraph"/>
              <w:numPr>
                <w:ilvl w:val="0"/>
                <w:numId w:val="2"/>
              </w:numPr>
            </w:pPr>
            <w:r>
              <w:rPr>
                <w:rFonts w:ascii="Arial" w:cs="Arial" w:eastAsia="Arial" w:hAnsi="Arial"/>
                <w:color w:val="2C2C2C"/>
                <w:sz w:val="20"/>
                <w:szCs w:val="20"/>
              </w:rPr>
              <w:t xml:space="preserve">Begin LinkedIn thought leadership publishing by company founders</w:t>
            </w:r>
          </w:p>
          <w:p>
            <w:pPr>
              <w:pStyle w:val="ListParagraph"/>
              <w:numPr>
                <w:ilvl w:val="0"/>
                <w:numId w:val="2"/>
              </w:numPr>
            </w:pPr>
            <w:r>
              <w:rPr>
                <w:rFonts w:ascii="Arial" w:cs="Arial" w:eastAsia="Arial" w:hAnsi="Arial"/>
                <w:color w:val="2C2C2C"/>
                <w:sz w:val="20"/>
                <w:szCs w:val="20"/>
              </w:rPr>
              <w:t xml:space="preserve">Review paid ad performance — scale top-performing creatives</w:t>
            </w:r>
          </w:p>
          <w:p>
            <w:pPr>
              <w:pStyle w:val="ListParagraph"/>
              <w:numPr>
                <w:ilvl w:val="0"/>
                <w:numId w:val="2"/>
              </w:numPr>
            </w:pPr>
            <w:r>
              <w:rPr>
                <w:rFonts w:ascii="Arial" w:cs="Arial" w:eastAsia="Arial" w:hAnsi="Arial"/>
                <w:color w:val="2C2C2C"/>
                <w:sz w:val="20"/>
                <w:szCs w:val="20"/>
              </w:rPr>
              <w:t xml:space="preserve">Target: 5 verified Google Reviews and 3 qualified consultation bookings</w:t>
            </w:r>
          </w:p>
        </w:tc>
      </w:tr>
    </w:tbl>
    <w:p>
      <w:pPr>
        <w:spacing w:after="0" w:before="200"/>
      </w:pPr>
      <w:r>
        <w:t xml:space="preserve"/>
      </w:r>
    </w:p>
    <w:p>
      <w:pPr>
        <w:pStyle w:val="Heading1"/>
        <w:pBdr>
          <w:bottom w:val="single" w:color="B8860B" w:sz="6" w:space="4"/>
        </w:pBdr>
        <w:spacing w:after="200" w:before="400"/>
      </w:pPr>
      <w:r>
        <w:rPr>
          <w:rFonts w:ascii="Arial" w:cs="Arial" w:eastAsia="Arial" w:hAnsi="Arial"/>
          <w:b/>
          <w:bCs/>
          <w:color w:val="1A1A2E"/>
          <w:sz w:val="32"/>
          <w:szCs w:val="32"/>
        </w:rPr>
        <w:t xml:space="preserve">KEY PERFORMANCE INDICATORS</w:t>
      </w:r>
    </w:p>
    <w:p>
      <w:pPr>
        <w:spacing w:after="80" w:before="60"/>
      </w:pPr>
      <w:r>
        <w:rPr>
          <w:rFonts w:ascii="Arial" w:cs="Arial" w:eastAsia="Arial" w:hAnsi="Arial"/>
          <w:color w:val="2C2C2C"/>
          <w:sz w:val="22"/>
          <w:szCs w:val="22"/>
        </w:rPr>
        <w:t xml:space="preserve">Progress against these challenges should be tracked monthly against the following KPIs: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20"/>
            </w:tcMar>
          </w:tcPr>
          <w:p>
            <w:r>
              <w:rPr>
                <w:rFonts w:ascii="Arial" w:cs="Arial" w:eastAsia="Arial" w:hAnsi="Arial"/>
                <w:b/>
                <w:bCs/>
                <w:color w:val="FFFFFF"/>
                <w:sz w:val="21"/>
                <w:szCs w:val="21"/>
              </w:rPr>
              <w:t xml:space="preserve">KPI Area</w:t>
            </w:r>
          </w:p>
        </w:tc>
        <w:tc>
          <w:tcPr>
            <w:tcW w:type="dxa" w:w="308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20"/>
            </w:tcMar>
          </w:tcPr>
          <w:p>
            <w:r>
              <w:rPr>
                <w:rFonts w:ascii="Arial" w:cs="Arial" w:eastAsia="Arial" w:hAnsi="Arial"/>
                <w:b/>
                <w:bCs/>
                <w:color w:val="FFFFFF"/>
                <w:sz w:val="21"/>
                <w:szCs w:val="21"/>
              </w:rPr>
              <w:t xml:space="preserve">30-Day Target</w:t>
            </w:r>
          </w:p>
        </w:tc>
        <w:tc>
          <w:tcPr>
            <w:tcW w:type="dxa" w:w="308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20"/>
            </w:tcMar>
          </w:tcPr>
          <w:p>
            <w:r>
              <w:rPr>
                <w:rFonts w:ascii="Arial" w:cs="Arial" w:eastAsia="Arial" w:hAnsi="Arial"/>
                <w:b/>
                <w:bCs/>
                <w:color w:val="FFFFFF"/>
                <w:sz w:val="21"/>
                <w:szCs w:val="21"/>
              </w:rPr>
              <w:t xml:space="preserve">90-Day Target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20"/>
            </w:tcMar>
          </w:tcPr>
          <w:p>
            <w:r>
              <w:rPr>
                <w:rFonts w:ascii="Arial" w:cs="Arial" w:eastAsia="Arial" w:hAnsi="Arial"/>
                <w:b/>
                <w:bCs/>
                <w:color w:val="2C2C2C"/>
                <w:sz w:val="20"/>
                <w:szCs w:val="20"/>
              </w:rPr>
              <w:t xml:space="preserve">Qualified Leads Generated</w:t>
            </w:r>
          </w:p>
        </w:tc>
        <w:tc>
          <w:tcPr>
            <w:tcW w:type="dxa" w:w="30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20"/>
            </w:tcMar>
          </w:tcPr>
          <w:p>
            <w:r>
              <w:rPr>
                <w:rFonts w:ascii="Arial" w:cs="Arial" w:eastAsia="Arial" w:hAnsi="Arial"/>
                <w:b w:val="false"/>
                <w:bCs w:val="false"/>
                <w:color w:val="2C2C2C"/>
                <w:sz w:val="20"/>
                <w:szCs w:val="20"/>
              </w:rPr>
              <w:t xml:space="preserve">3–5 leads/month</w:t>
            </w:r>
          </w:p>
        </w:tc>
        <w:tc>
          <w:tcPr>
            <w:tcW w:type="dxa" w:w="30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20"/>
            </w:tcMar>
          </w:tcPr>
          <w:p>
            <w:r>
              <w:rPr>
                <w:rFonts w:ascii="Arial" w:cs="Arial" w:eastAsia="Arial" w:hAnsi="Arial"/>
                <w:b w:val="false"/>
                <w:bCs w:val="false"/>
                <w:color w:val="2C2C2C"/>
                <w:sz w:val="20"/>
                <w:szCs w:val="20"/>
              </w:rPr>
              <w:t xml:space="preserve">15+ leads/month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b/>
                <w:bCs/>
                <w:color w:val="2C2C2C"/>
                <w:sz w:val="20"/>
                <w:szCs w:val="20"/>
              </w:rPr>
              <w:t xml:space="preserve">Real Estate Agent Outreach</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b w:val="false"/>
                <w:bCs w:val="false"/>
                <w:color w:val="2C2C2C"/>
                <w:sz w:val="20"/>
                <w:szCs w:val="20"/>
              </w:rPr>
              <w:t xml:space="preserve">50 contacts initiated</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b w:val="false"/>
                <w:bCs w:val="false"/>
                <w:color w:val="2C2C2C"/>
                <w:sz w:val="20"/>
                <w:szCs w:val="20"/>
              </w:rPr>
              <w:t xml:space="preserve">150+ contacts, 10 meetings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20"/>
            </w:tcMar>
          </w:tcPr>
          <w:p>
            <w:r>
              <w:rPr>
                <w:rFonts w:ascii="Arial" w:cs="Arial" w:eastAsia="Arial" w:hAnsi="Arial"/>
                <w:b/>
                <w:bCs/>
                <w:color w:val="2C2C2C"/>
                <w:sz w:val="20"/>
                <w:szCs w:val="20"/>
              </w:rPr>
              <w:t xml:space="preserve">Paid Ad Impressions (Austin)</w:t>
            </w:r>
          </w:p>
        </w:tc>
        <w:tc>
          <w:tcPr>
            <w:tcW w:type="dxa" w:w="30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20"/>
            </w:tcMar>
          </w:tcPr>
          <w:p>
            <w:r>
              <w:rPr>
                <w:rFonts w:ascii="Arial" w:cs="Arial" w:eastAsia="Arial" w:hAnsi="Arial"/>
                <w:b w:val="false"/>
                <w:bCs w:val="false"/>
                <w:color w:val="2C2C2C"/>
                <w:sz w:val="20"/>
                <w:szCs w:val="20"/>
              </w:rPr>
              <w:t xml:space="preserve">50,000+ monthly</w:t>
            </w:r>
          </w:p>
        </w:tc>
        <w:tc>
          <w:tcPr>
            <w:tcW w:type="dxa" w:w="30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20"/>
            </w:tcMar>
          </w:tcPr>
          <w:p>
            <w:r>
              <w:rPr>
                <w:rFonts w:ascii="Arial" w:cs="Arial" w:eastAsia="Arial" w:hAnsi="Arial"/>
                <w:b w:val="false"/>
                <w:bCs w:val="false"/>
                <w:color w:val="2C2C2C"/>
                <w:sz w:val="20"/>
                <w:szCs w:val="20"/>
              </w:rPr>
              <w:t xml:space="preserve">200,000+ monthly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b/>
                <w:bCs/>
                <w:color w:val="2C2C2C"/>
                <w:sz w:val="20"/>
                <w:szCs w:val="20"/>
              </w:rPr>
              <w:t xml:space="preserve">Website Consultation Requests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b w:val="false"/>
                <w:bCs w:val="false"/>
                <w:color w:val="2C2C2C"/>
                <w:sz w:val="20"/>
                <w:szCs w:val="20"/>
              </w:rPr>
              <w:t xml:space="preserve">5 per month</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b w:val="false"/>
                <w:bCs w:val="false"/>
                <w:color w:val="2C2C2C"/>
                <w:sz w:val="20"/>
                <w:szCs w:val="20"/>
              </w:rPr>
              <w:t xml:space="preserve">20+ per month</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20"/>
            </w:tcMar>
          </w:tcPr>
          <w:p>
            <w:r>
              <w:rPr>
                <w:rFonts w:ascii="Arial" w:cs="Arial" w:eastAsia="Arial" w:hAnsi="Arial"/>
                <w:b/>
                <w:bCs/>
                <w:color w:val="2C2C2C"/>
                <w:sz w:val="20"/>
                <w:szCs w:val="20"/>
              </w:rPr>
              <w:t xml:space="preserve">Preferred Builder Applications</w:t>
            </w:r>
          </w:p>
        </w:tc>
        <w:tc>
          <w:tcPr>
            <w:tcW w:type="dxa" w:w="30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20"/>
            </w:tcMar>
          </w:tcPr>
          <w:p>
            <w:r>
              <w:rPr>
                <w:rFonts w:ascii="Arial" w:cs="Arial" w:eastAsia="Arial" w:hAnsi="Arial"/>
                <w:b w:val="false"/>
                <w:bCs w:val="false"/>
                <w:color w:val="2C2C2C"/>
                <w:sz w:val="20"/>
                <w:szCs w:val="20"/>
              </w:rPr>
              <w:t xml:space="preserve">3 applications submitted</w:t>
            </w:r>
          </w:p>
        </w:tc>
        <w:tc>
          <w:tcPr>
            <w:tcW w:type="dxa" w:w="30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20"/>
            </w:tcMar>
          </w:tcPr>
          <w:p>
            <w:r>
              <w:rPr>
                <w:rFonts w:ascii="Arial" w:cs="Arial" w:eastAsia="Arial" w:hAnsi="Arial"/>
                <w:b w:val="false"/>
                <w:bCs w:val="false"/>
                <w:color w:val="2C2C2C"/>
                <w:sz w:val="20"/>
                <w:szCs w:val="20"/>
              </w:rPr>
              <w:t xml:space="preserve">1 approval secured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b/>
                <w:bCs/>
                <w:color w:val="2C2C2C"/>
                <w:sz w:val="20"/>
                <w:szCs w:val="20"/>
              </w:rPr>
              <w:t xml:space="preserve">Google Reviews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b w:val="false"/>
                <w:bCs w:val="false"/>
                <w:color w:val="2C2C2C"/>
                <w:sz w:val="20"/>
                <w:szCs w:val="20"/>
              </w:rPr>
              <w:t xml:space="preserve">1 review</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b w:val="false"/>
                <w:bCs w:val="false"/>
                <w:color w:val="2C2C2C"/>
                <w:sz w:val="20"/>
                <w:szCs w:val="20"/>
              </w:rPr>
              <w:t xml:space="preserve">5 verified reviews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20"/>
            </w:tcMar>
          </w:tcPr>
          <w:p>
            <w:r>
              <w:rPr>
                <w:rFonts w:ascii="Arial" w:cs="Arial" w:eastAsia="Arial" w:hAnsi="Arial"/>
                <w:b/>
                <w:bCs/>
                <w:color w:val="2C2C2C"/>
                <w:sz w:val="20"/>
                <w:szCs w:val="20"/>
              </w:rPr>
              <w:t xml:space="preserve">Social Media Engagement Rate</w:t>
            </w:r>
          </w:p>
        </w:tc>
        <w:tc>
          <w:tcPr>
            <w:tcW w:type="dxa" w:w="30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20"/>
            </w:tcMar>
          </w:tcPr>
          <w:p>
            <w:r>
              <w:rPr>
                <w:rFonts w:ascii="Arial" w:cs="Arial" w:eastAsia="Arial" w:hAnsi="Arial"/>
                <w:b w:val="false"/>
                <w:bCs w:val="false"/>
                <w:color w:val="2C2C2C"/>
                <w:sz w:val="20"/>
                <w:szCs w:val="20"/>
              </w:rPr>
              <w:t xml:space="preserve">2%+ average</w:t>
            </w:r>
          </w:p>
        </w:tc>
        <w:tc>
          <w:tcPr>
            <w:tcW w:type="dxa" w:w="30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20"/>
            </w:tcMar>
          </w:tcPr>
          <w:p>
            <w:r>
              <w:rPr>
                <w:rFonts w:ascii="Arial" w:cs="Arial" w:eastAsia="Arial" w:hAnsi="Arial"/>
                <w:b w:val="false"/>
                <w:bCs w:val="false"/>
                <w:color w:val="2C2C2C"/>
                <w:sz w:val="20"/>
                <w:szCs w:val="20"/>
              </w:rPr>
              <w:t xml:space="preserve">4%+ average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b/>
                <w:bCs/>
                <w:color w:val="2C2C2C"/>
                <w:sz w:val="20"/>
                <w:szCs w:val="20"/>
              </w:rPr>
              <w:t xml:space="preserve">Case Studies Published</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b w:val="false"/>
                <w:bCs w:val="false"/>
                <w:color w:val="2C2C2C"/>
                <w:sz w:val="20"/>
                <w:szCs w:val="20"/>
              </w:rPr>
              <w:t xml:space="preserve">Bluewater Residence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b w:val="false"/>
                <w:bCs w:val="false"/>
                <w:color w:val="2C2C2C"/>
                <w:sz w:val="20"/>
                <w:szCs w:val="20"/>
              </w:rPr>
              <w:t xml:space="preserve">3 case studies live</w:t>
            </w:r>
          </w:p>
        </w:tc>
      </w:tr>
    </w:tbl>
    <w:p>
      <w:pPr>
        <w:spacing w:after="0" w:before="200"/>
      </w:pPr>
      <w:r>
        <w:t xml:space="preserve"/>
      </w:r>
    </w:p>
    <w:p>
      <w:pPr>
        <w:pStyle w:val="Heading1"/>
        <w:pBdr>
          <w:bottom w:val="single" w:color="B8860B" w:sz="6" w:space="4"/>
        </w:pBdr>
        <w:spacing w:after="200" w:before="400"/>
      </w:pPr>
      <w:r>
        <w:rPr>
          <w:rFonts w:ascii="Arial" w:cs="Arial" w:eastAsia="Arial" w:hAnsi="Arial"/>
          <w:b/>
          <w:bCs/>
          <w:color w:val="1A1A2E"/>
          <w:sz w:val="32"/>
          <w:szCs w:val="32"/>
        </w:rPr>
        <w:t xml:space="preserve">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7" w:val="clear"/>
            <w:tcMar>
              <w:top w:type="dxa" w:w="200"/>
              <w:left w:type="dxa" w:w="280"/>
              <w:bottom w:type="dxa" w:w="200"/>
              <w:right w:type="dxa" w:w="280"/>
            </w:tcMar>
          </w:tcPr>
          <w:p>
            <w:pPr>
              <w:spacing w:after="100"/>
            </w:pPr>
            <w:r>
              <w:rPr>
                <w:rFonts w:ascii="Arial" w:cs="Arial" w:eastAsia="Arial" w:hAnsi="Arial"/>
                <w:b/>
                <w:bCs/>
                <w:color w:val="1A1A2E"/>
                <w:sz w:val="22"/>
                <w:szCs w:val="22"/>
              </w:rPr>
              <w:t xml:space="preserve">TX Sparks Luxury Homes has the capability, the technology, and the vision to become Austin's leading luxury home builder. The completed Austin project is proof.</w:t>
            </w:r>
          </w:p>
          <w:p>
            <w:pPr>
              <w:spacing w:after="100"/>
            </w:pPr>
            <w:r>
              <w:rPr>
                <w:rFonts w:ascii="Arial" w:cs="Arial" w:eastAsia="Arial" w:hAnsi="Arial"/>
                <w:color w:val="4A4A6A"/>
                <w:sz w:val="22"/>
                <w:szCs w:val="22"/>
              </w:rPr>
              <w:t xml:space="preserve">The challenges outlined in this report are not structural weaknesses — they are execution gaps. With a structured business development approach, targeted paid marketing investment, a dedicated lead generation system, active pursuit of Preferred Builder status, and consistent communication of our steel construction advantages, TX Sparks is positioned to convert its current reputation into a sustainable pipeline of luxury home projects.</w:t>
            </w:r>
          </w:p>
          <w:p>
            <w:r>
              <w:rPr>
                <w:rFonts w:ascii="Arial" w:cs="Arial" w:eastAsia="Arial" w:hAnsi="Arial"/>
                <w:i/>
                <w:iCs/>
                <w:color w:val="1A1A2E"/>
                <w:sz w:val="22"/>
                <w:szCs w:val="22"/>
              </w:rPr>
              <w:t xml:space="preserve">The 90-day roadmap presented in this report is the first step. The commitment to execute it — week by week — is what separates brands that stay unknown from brands that become dominant.</w:t>
            </w:r>
          </w:p>
        </w:tc>
      </w:tr>
    </w:tbl>
    <w:p>
      <w:pPr>
        <w:spacing w:after="0" w:before="120"/>
      </w:pPr>
      <w:r>
        <w:t xml:space="preserve"/>
      </w:r>
    </w:p>
    <w:p>
      <w:pPr>
        <w:spacing w:after="80" w:before="60"/>
      </w:pPr>
      <w:r>
        <w:rPr>
          <w:rFonts w:ascii="Arial" w:cs="Arial" w:eastAsia="Arial" w:hAnsi="Arial"/>
          <w:i/>
          <w:iCs/>
          <w:color w:val="888888"/>
          <w:sz w:val="22"/>
          <w:szCs w:val="22"/>
        </w:rPr>
        <w:t xml:space="preserve">This report was prepared based on the findings of the weekly SMM review meeting held June 12, 2026, the TX Sparks Luxury Homes SEO &amp; SMM Playbook, and the Weekly Social Media Marketing Analysis Report. All recommendations should be reviewed with the leadership team and assigned ownership before execution.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4" w:space="4"/>
      </w:pBdr>
      <w:tabs>
        <w:tab w:val="right" w:pos="9026"/>
      </w:tabs>
      <w:spacing w:before="80"/>
    </w:pPr>
    <w:r>
      <w:rPr>
        <w:rFonts w:ascii="Arial" w:cs="Arial" w:eastAsia="Arial" w:hAnsi="Arial"/>
        <w:color w:val="4A4A6A"/>
        <w:sz w:val="16"/>
        <w:szCs w:val="16"/>
      </w:rPr>
      <w:t xml:space="preserve">txsparksluxuryhomes.com  |  Austin, Texas</w:t>
    </w:r>
    <w:r>
      <w:rPr>
        <w:rFonts w:ascii="Arial" w:cs="Arial" w:eastAsia="Arial" w:hAnsi="Arial"/>
        <w:sz w:val="16"/>
        <w:szCs w:val="16"/>
      </w:rPr>
      <w:t xml:space="preserve">	</w:t>
    </w:r>
    <w:r>
      <w:rPr>
        <w:rFonts w:ascii="Arial" w:cs="Arial" w:eastAsia="Arial" w:hAnsi="Arial"/>
        <w:color w:val="4A4A6A"/>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4"/>
      </w:pBdr>
      <w:tabs>
        <w:tab w:val="right" w:pos="9026"/>
      </w:tabs>
      <w:spacing w:after="80"/>
    </w:pPr>
    <w:r>
      <w:rPr>
        <w:rFonts w:ascii="Arial" w:cs="Arial" w:eastAsia="Arial" w:hAnsi="Arial"/>
        <w:b/>
        <w:bCs/>
        <w:color w:val="1A1A2E"/>
        <w:sz w:val="18"/>
        <w:szCs w:val="18"/>
      </w:rPr>
      <w:t xml:space="preserve">TX SPARKS LUXURY HOMES  </w:t>
    </w:r>
    <w:r>
      <w:rPr>
        <w:rFonts w:ascii="Arial" w:cs="Arial" w:eastAsia="Arial" w:hAnsi="Arial"/>
        <w:color w:val="4A4A6A"/>
        <w:sz w:val="18"/>
        <w:szCs w:val="18"/>
      </w:rPr>
      <w:t xml:space="preserve">|  Key Challenges &amp; Improvement Areas Report</w:t>
    </w:r>
    <w:r>
      <w:rPr>
        <w:rFonts w:ascii="Arial" w:cs="Arial" w:eastAsia="Arial" w:hAnsi="Arial"/>
        <w:sz w:val="18"/>
        <w:szCs w:val="18"/>
      </w:rPr>
      <w:t xml:space="preserve">  	</w:t>
    </w:r>
    <w:r>
      <w:rPr>
        <w:rFonts w:ascii="Arial" w:cs="Arial" w:eastAsia="Arial" w:hAnsi="Arial"/>
        <w:b/>
        <w:bCs/>
        <w:color w:val="B8860B"/>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2026-06-12T20:19:26.159Z</dcterms:created>
  <dcterms:modified xsi:type="dcterms:W3CDTF">2026-06-12T20:19:26.159Z</dcterms:modified>
</cp:coreProperties>
</file>

<file path=docProps/custom.xml><?xml version="1.0" encoding="utf-8"?>
<Properties xmlns="http://schemas.openxmlformats.org/officeDocument/2006/custom-properties" xmlns:vt="http://schemas.openxmlformats.org/officeDocument/2006/docPropsVTypes"/>
</file>