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3EC4" w:rsidRPr="009E3EC4" w:rsidRDefault="009E3EC4" w:rsidP="00343024">
      <w:pPr>
        <w:spacing w:after="0"/>
        <w:rPr>
          <w:b/>
          <w:bCs/>
        </w:rPr>
      </w:pPr>
      <w:r w:rsidRPr="009E3EC4">
        <w:rPr>
          <w:b/>
          <w:bCs/>
        </w:rPr>
        <w:t>Exchange Rate Forecasting Using Econometric and Machine Learning Models</w:t>
      </w:r>
    </w:p>
    <w:p w:rsidR="009E3EC4" w:rsidRPr="009E3EC4" w:rsidRDefault="009E3EC4" w:rsidP="00343024">
      <w:pPr>
        <w:spacing w:after="0"/>
        <w:rPr>
          <w:b/>
          <w:bCs/>
        </w:rPr>
      </w:pPr>
      <w:r w:rsidRPr="009E3EC4">
        <w:rPr>
          <w:b/>
          <w:bCs/>
        </w:rPr>
        <w:t>1. Introduction</w:t>
      </w:r>
    </w:p>
    <w:p w:rsidR="009E3EC4" w:rsidRPr="009E3EC4" w:rsidRDefault="009E3EC4" w:rsidP="00343024">
      <w:pPr>
        <w:spacing w:after="0"/>
      </w:pPr>
      <w:r w:rsidRPr="009E3EC4">
        <w:t>Exchange rate forecasting has long been a central topic in international macroeconomics, particularly due to the difficulty of outperforming simple benchmarks such as the random walk. Since the seminal work of Meese and Rogoff (1983), it has been widely recognised that many structural models struggle to consistently beat naïve forecasts in out-of-sample settings.</w:t>
      </w:r>
    </w:p>
    <w:p w:rsidR="009E3EC4" w:rsidRPr="009E3EC4" w:rsidRDefault="009E3EC4" w:rsidP="00343024">
      <w:pPr>
        <w:spacing w:after="0"/>
      </w:pPr>
      <w:r w:rsidRPr="009E3EC4">
        <w:t>This study investigates whether macroeconomic fundamentals can improve exchange rate forecasts and whether machine learning models provide additional predictive power beyond traditional econometric approaches. Specifically, the analysis compares a Vector Autoregression (VAR) model and a Random Forest model against a random walk benchmark in forecasting the GBP/USD exchange rate.</w:t>
      </w:r>
    </w:p>
    <w:p w:rsidR="009E3EC4" w:rsidRPr="009E3EC4" w:rsidRDefault="009E3EC4" w:rsidP="00343024">
      <w:pPr>
        <w:spacing w:after="0"/>
      </w:pPr>
      <w:r w:rsidRPr="009E3EC4">
        <w:pict>
          <v:rect id="_x0000_i1025" style="width:0;height:1.5pt" o:hralign="center" o:hrstd="t" o:hr="t" fillcolor="#a0a0a0" stroked="f"/>
        </w:pict>
      </w:r>
    </w:p>
    <w:p w:rsidR="009E3EC4" w:rsidRPr="009E3EC4" w:rsidRDefault="009E3EC4" w:rsidP="00343024">
      <w:pPr>
        <w:spacing w:after="0"/>
        <w:rPr>
          <w:b/>
          <w:bCs/>
        </w:rPr>
      </w:pPr>
      <w:r w:rsidRPr="009E3EC4">
        <w:rPr>
          <w:b/>
          <w:bCs/>
        </w:rPr>
        <w:t>2. Data</w:t>
      </w:r>
    </w:p>
    <w:p w:rsidR="009E3EC4" w:rsidRPr="009E3EC4" w:rsidRDefault="009E3EC4" w:rsidP="00343024">
      <w:pPr>
        <w:spacing w:after="0"/>
      </w:pPr>
      <w:r w:rsidRPr="009E3EC4">
        <w:t>The dataset consists of monthly observations from December 2003 to January 2025. The variables used are:</w:t>
      </w:r>
    </w:p>
    <w:p w:rsidR="009E3EC4" w:rsidRPr="009E3EC4" w:rsidRDefault="009E3EC4" w:rsidP="00343024">
      <w:pPr>
        <w:numPr>
          <w:ilvl w:val="0"/>
          <w:numId w:val="1"/>
        </w:numPr>
        <w:spacing w:after="0"/>
      </w:pPr>
      <w:r w:rsidRPr="009E3EC4">
        <w:t>GBP/USD exchange rate obtained from Yahoo Finance</w:t>
      </w:r>
    </w:p>
    <w:p w:rsidR="009E3EC4" w:rsidRPr="009E3EC4" w:rsidRDefault="009E3EC4" w:rsidP="00343024">
      <w:pPr>
        <w:numPr>
          <w:ilvl w:val="0"/>
          <w:numId w:val="1"/>
        </w:numPr>
        <w:spacing w:after="0"/>
      </w:pPr>
      <w:r w:rsidRPr="009E3EC4">
        <w:t>United States money supply (M2) sourced from FRED</w:t>
      </w:r>
    </w:p>
    <w:p w:rsidR="009E3EC4" w:rsidRPr="009E3EC4" w:rsidRDefault="009E3EC4" w:rsidP="00343024">
      <w:pPr>
        <w:numPr>
          <w:ilvl w:val="0"/>
          <w:numId w:val="1"/>
        </w:numPr>
        <w:spacing w:after="0"/>
      </w:pPr>
      <w:r w:rsidRPr="009E3EC4">
        <w:t>United Kingdom money supply</w:t>
      </w:r>
      <w:r>
        <w:t xml:space="preserve"> (M4)</w:t>
      </w:r>
      <w:r w:rsidRPr="009E3EC4">
        <w:t xml:space="preserve"> obtained from Bank of England statistics</w:t>
      </w:r>
    </w:p>
    <w:p w:rsidR="009E3EC4" w:rsidRPr="009E3EC4" w:rsidRDefault="009E3EC4" w:rsidP="00343024">
      <w:pPr>
        <w:spacing w:after="0"/>
      </w:pPr>
      <w:r w:rsidRPr="009E3EC4">
        <w:t>All variables are transformed into logarithms where appropriate.</w:t>
      </w:r>
    </w:p>
    <w:p w:rsidR="009E3EC4" w:rsidRPr="009E3EC4" w:rsidRDefault="009E3EC4" w:rsidP="00343024">
      <w:pPr>
        <w:spacing w:after="0"/>
      </w:pPr>
      <w:r w:rsidRPr="009E3EC4">
        <w:pict>
          <v:rect id="_x0000_i1026" style="width:0;height:1.5pt" o:hralign="center" o:hrstd="t" o:hr="t" fillcolor="#a0a0a0" stroked="f"/>
        </w:pict>
      </w:r>
    </w:p>
    <w:p w:rsidR="009E3EC4" w:rsidRPr="009E3EC4" w:rsidRDefault="009E3EC4" w:rsidP="00343024">
      <w:pPr>
        <w:spacing w:after="0"/>
        <w:rPr>
          <w:b/>
          <w:bCs/>
        </w:rPr>
      </w:pPr>
      <w:r w:rsidRPr="009E3EC4">
        <w:rPr>
          <w:b/>
          <w:bCs/>
        </w:rPr>
        <w:t>3. Preliminary Analysis</w:t>
      </w:r>
    </w:p>
    <w:p w:rsidR="009E3EC4" w:rsidRPr="009E3EC4" w:rsidRDefault="009E3EC4" w:rsidP="00343024">
      <w:pPr>
        <w:spacing w:after="0"/>
        <w:rPr>
          <w:b/>
          <w:bCs/>
        </w:rPr>
      </w:pPr>
      <w:r w:rsidRPr="009E3EC4">
        <w:rPr>
          <w:b/>
          <w:bCs/>
        </w:rPr>
        <w:t>3.1 Stationarity</w:t>
      </w:r>
    </w:p>
    <w:p w:rsidR="009E3EC4" w:rsidRPr="009E3EC4" w:rsidRDefault="009E3EC4" w:rsidP="00343024">
      <w:pPr>
        <w:spacing w:after="0"/>
      </w:pPr>
      <w:r w:rsidRPr="009E3EC4">
        <w:t>To ensure valid time series modelling, Augmented Dickey-Fuller (ADF) tests were conducted on all variables. The results indicate that:</w:t>
      </w:r>
    </w:p>
    <w:p w:rsidR="009E3EC4" w:rsidRPr="009E3EC4" w:rsidRDefault="009E3EC4" w:rsidP="00343024">
      <w:pPr>
        <w:numPr>
          <w:ilvl w:val="0"/>
          <w:numId w:val="2"/>
        </w:numPr>
        <w:spacing w:after="0"/>
      </w:pPr>
      <w:r w:rsidRPr="009E3EC4">
        <w:t>All variables are non-stationary in levels</w:t>
      </w:r>
    </w:p>
    <w:p w:rsidR="009E3EC4" w:rsidRPr="009E3EC4" w:rsidRDefault="009E3EC4" w:rsidP="00343024">
      <w:pPr>
        <w:numPr>
          <w:ilvl w:val="0"/>
          <w:numId w:val="2"/>
        </w:numPr>
        <w:spacing w:after="0"/>
      </w:pPr>
      <w:r w:rsidRPr="009E3EC4">
        <w:t>All variables become stationary after first differencing</w:t>
      </w:r>
    </w:p>
    <w:p w:rsidR="009E3EC4" w:rsidRPr="009E3EC4" w:rsidRDefault="009E3EC4" w:rsidP="00343024">
      <w:pPr>
        <w:spacing w:after="0"/>
      </w:pPr>
      <w:r w:rsidRPr="009E3EC4">
        <w:t>Thus, the analysis proceeds using:</w:t>
      </w:r>
      <w:r>
        <w:t xml:space="preser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oMath>
    </w:p>
    <w:p w:rsidR="009E3EC4" w:rsidRPr="009E3EC4" w:rsidRDefault="009E3EC4" w:rsidP="00343024">
      <w:pPr>
        <w:spacing w:after="0"/>
      </w:pPr>
      <w:r w:rsidRPr="009E3EC4">
        <w:t xml:space="preserve">which ensures that the variables are integrated of order one, </w:t>
      </w:r>
      <w:proofErr w:type="gramStart"/>
      <w:r w:rsidRPr="009E3EC4">
        <w:t>I(</w:t>
      </w:r>
      <w:proofErr w:type="gramEnd"/>
      <w:r w:rsidRPr="009E3EC4">
        <w:t>1), and suitable for VAR modelling in differences.</w:t>
      </w:r>
    </w:p>
    <w:p w:rsidR="009E3EC4" w:rsidRPr="009E3EC4" w:rsidRDefault="009E3EC4" w:rsidP="00343024">
      <w:pPr>
        <w:spacing w:after="0"/>
      </w:pPr>
      <w:r w:rsidRPr="009E3EC4">
        <w:pict>
          <v:rect id="_x0000_i1027" style="width:0;height:1.5pt" o:hralign="center" o:hrstd="t" o:hr="t" fillcolor="#a0a0a0" stroked="f"/>
        </w:pict>
      </w:r>
    </w:p>
    <w:p w:rsidR="009E3EC4" w:rsidRPr="009E3EC4" w:rsidRDefault="009E3EC4" w:rsidP="00343024">
      <w:pPr>
        <w:spacing w:after="0"/>
        <w:rPr>
          <w:b/>
          <w:bCs/>
        </w:rPr>
      </w:pPr>
      <w:r w:rsidRPr="009E3EC4">
        <w:rPr>
          <w:b/>
          <w:bCs/>
        </w:rPr>
        <w:t>4. Theoretical Framework</w:t>
      </w:r>
    </w:p>
    <w:p w:rsidR="009E3EC4" w:rsidRPr="009E3EC4" w:rsidRDefault="009E3EC4" w:rsidP="00343024">
      <w:pPr>
        <w:spacing w:after="0"/>
        <w:rPr>
          <w:b/>
          <w:bCs/>
        </w:rPr>
      </w:pPr>
      <w:r w:rsidRPr="009E3EC4">
        <w:rPr>
          <w:b/>
          <w:bCs/>
        </w:rPr>
        <w:t>4.1 Monetary Fundamentals Model</w:t>
      </w:r>
    </w:p>
    <w:p w:rsidR="009E3EC4" w:rsidRPr="009E3EC4" w:rsidRDefault="009E3EC4" w:rsidP="00343024">
      <w:pPr>
        <w:spacing w:after="0"/>
      </w:pPr>
      <w:r w:rsidRPr="009E3EC4">
        <w:t>The empirical specification is based on the traditional monetary model of exchange rate determination. The vector:</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oMath>
    </w:p>
    <w:p w:rsidR="009E3EC4" w:rsidRPr="009E3EC4" w:rsidRDefault="009E3EC4" w:rsidP="00343024">
      <w:pPr>
        <w:spacing w:after="0"/>
      </w:pPr>
      <w:r w:rsidRPr="009E3EC4">
        <w:t xml:space="preserve">includes the exchange rate </w:t>
      </w:r>
      <w:proofErr w:type="gramStart"/>
      <w:r w:rsidRPr="009E3EC4">
        <w:t>( e</w:t>
      </w:r>
      <w:r w:rsidRPr="008D1D55">
        <w:rPr>
          <w:vertAlign w:val="subscript"/>
        </w:rPr>
        <w:t>t</w:t>
      </w:r>
      <w:proofErr w:type="gramEnd"/>
      <w:r w:rsidRPr="009E3EC4">
        <w:t xml:space="preserve"> ) and a fundamentals term </w:t>
      </w:r>
      <w:proofErr w:type="gramStart"/>
      <w:r w:rsidRPr="009E3EC4">
        <w:t>( x</w:t>
      </w:r>
      <w:r w:rsidRPr="008D1D55">
        <w:rPr>
          <w:vertAlign w:val="subscript"/>
        </w:rPr>
        <w:t>t</w:t>
      </w:r>
      <w:proofErr w:type="gramEnd"/>
      <w:r w:rsidRPr="009E3EC4">
        <w:t xml:space="preserve"> ), defined as:</w:t>
      </w:r>
    </w:p>
    <w:p w:rsidR="009E3EC4" w:rsidRPr="009E3EC4" w:rsidRDefault="008D1D55" w:rsidP="00343024">
      <w:pPr>
        <w:spacing w:after="0"/>
      </w:pPr>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r>
                <w:rPr>
                  <w:rFonts w:ascii="Cambria Math" w:eastAsiaTheme="minorEastAsia" w:hAnsi="Cambria Math"/>
                </w:rPr>
                <m:t xml:space="preserve"> </m:t>
              </m:r>
              <m:groupChr>
                <m:groupChrPr>
                  <m:chr m:val="⏞"/>
                  <m:pos m:val="top"/>
                  <m:vertJc m:val="bot"/>
                  <m:ctrlPr>
                    <w:rPr>
                      <w:rFonts w:ascii="Cambria Math" w:eastAsiaTheme="minorEastAsia" w:hAnsi="Cambria Math"/>
                      <w:i/>
                    </w:rPr>
                  </m:ctrlPr>
                </m:groupChr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e>
              </m:groupChr>
              <m:ctrlPr>
                <w:rPr>
                  <w:rFonts w:ascii="Cambria Math" w:eastAsiaTheme="minorEastAsia" w:hAnsi="Cambria Math"/>
                  <w:i/>
                </w:rPr>
              </m:ctrlPr>
            </m:e>
          </m:d>
          <m:r>
            <w:rPr>
              <w:rFonts w:ascii="Cambria Math" w:eastAsiaTheme="minorEastAsia"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eastAsiaTheme="minorEastAsia" w:hAnsi="Cambria Math"/>
                </w:rPr>
                <m:t xml:space="preserve"> </m:t>
              </m:r>
              <m:groupChr>
                <m:groupChrPr>
                  <m:chr m:val="⏞"/>
                  <m:pos m:val="top"/>
                  <m:vertJc m:val="bot"/>
                  <m:ctrlPr>
                    <w:rPr>
                      <w:rFonts w:ascii="Cambria Math" w:eastAsiaTheme="minorEastAsia" w:hAnsi="Cambria Math"/>
                      <w:i/>
                    </w:rPr>
                  </m:ctrlPr>
                </m:groupChr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groupChr>
              <m:ctrlPr>
                <w:rPr>
                  <w:rFonts w:ascii="Cambria Math" w:eastAsiaTheme="minorEastAsia" w:hAnsi="Cambria Math"/>
                  <w:i/>
                </w:rPr>
              </m:ctrlPr>
            </m:e>
          </m:d>
          <m:r>
            <w:br/>
          </m:r>
        </m:oMath>
      </m:oMathPara>
      <w:r w:rsidR="009E3EC4" w:rsidRPr="009E3EC4">
        <w:t>where:</w:t>
      </w:r>
    </w:p>
    <w:p w:rsidR="009E3EC4" w:rsidRPr="009E3EC4" w:rsidRDefault="009E3EC4" w:rsidP="00343024">
      <w:pPr>
        <w:numPr>
          <w:ilvl w:val="0"/>
          <w:numId w:val="3"/>
        </w:numPr>
        <w:spacing w:after="0"/>
      </w:pPr>
      <w:r w:rsidRPr="009E3EC4">
        <w:t xml:space="preserve">(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sidRPr="009E3EC4">
        <w:t>): domestic money supply</w:t>
      </w:r>
    </w:p>
    <w:p w:rsidR="009E3EC4" w:rsidRPr="009E3EC4" w:rsidRDefault="008D1D55" w:rsidP="00343024">
      <w:pPr>
        <w:numPr>
          <w:ilvl w:val="0"/>
          <w:numId w:val="3"/>
        </w:numPr>
        <w:spacing w:after="0"/>
      </w:pPr>
      <m:oMath>
        <m:d>
          <m:dPr>
            <m:ctrlPr>
              <w:rPr>
                <w:rFonts w:ascii="Cambria Math" w:hAnsi="Cambria Math"/>
                <w:i/>
              </w:rPr>
            </m:ctrlPr>
          </m:dPr>
          <m:e>
            <m:r>
              <w:rPr>
                <w:rFonts w:ascii="Cambria Math" w:eastAsiaTheme="minorEastAsia" w:hAnsi="Cambria Math"/>
              </w:rPr>
              <m:t xml:space="preserve"> </m:t>
            </m:r>
            <m:groupChr>
              <m:groupChrPr>
                <m:chr m:val="⏞"/>
                <m:pos m:val="top"/>
                <m:vertJc m:val="bot"/>
                <m:ctrlPr>
                  <w:rPr>
                    <w:rFonts w:ascii="Cambria Math" w:eastAsiaTheme="minorEastAsia" w:hAnsi="Cambria Math"/>
                    <w:i/>
                  </w:rPr>
                </m:ctrlPr>
              </m:groupChr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e>
            </m:groupChr>
            <m:ctrlPr>
              <w:rPr>
                <w:rFonts w:ascii="Cambria Math" w:eastAsiaTheme="minorEastAsia" w:hAnsi="Cambria Math"/>
                <w:i/>
              </w:rPr>
            </m:ctrlPr>
          </m:e>
        </m:d>
      </m:oMath>
      <w:r w:rsidR="009E3EC4" w:rsidRPr="009E3EC4">
        <w:t>: foreign money supply</w:t>
      </w:r>
    </w:p>
    <w:p w:rsidR="009E3EC4" w:rsidRPr="009E3EC4" w:rsidRDefault="009E3EC4" w:rsidP="00343024">
      <w:pPr>
        <w:numPr>
          <w:ilvl w:val="0"/>
          <w:numId w:val="3"/>
        </w:numPr>
        <w:spacing w:after="0"/>
      </w:pPr>
      <w:r w:rsidRPr="009E3EC4">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9E3EC4">
        <w:t xml:space="preserve"> ): domestic real income</w:t>
      </w:r>
    </w:p>
    <w:p w:rsidR="009E3EC4" w:rsidRPr="009E3EC4" w:rsidRDefault="009E3EC4" w:rsidP="00343024">
      <w:pPr>
        <w:numPr>
          <w:ilvl w:val="0"/>
          <w:numId w:val="3"/>
        </w:numPr>
        <w:spacing w:after="0"/>
      </w:pPr>
      <w:r w:rsidRPr="009E3EC4">
        <w:lastRenderedPageBreak/>
        <w:t>(</w:t>
      </w:r>
      <m:oMath>
        <m:d>
          <m:dPr>
            <m:ctrlPr>
              <w:rPr>
                <w:rFonts w:ascii="Cambria Math" w:hAnsi="Cambria Math"/>
                <w:i/>
              </w:rPr>
            </m:ctrlPr>
          </m:dPr>
          <m:e>
            <m:groupChr>
              <m:groupChrPr>
                <m:chr m:val="⏞"/>
                <m:pos m:val="top"/>
                <m:vertJc m:val="bot"/>
                <m:ctrlPr>
                  <w:rPr>
                    <w:rFonts w:ascii="Cambria Math" w:eastAsiaTheme="minorEastAsia" w:hAnsi="Cambria Math"/>
                    <w:i/>
                  </w:rPr>
                </m:ctrlPr>
              </m:groupChr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groupChr>
            <m:ctrlPr>
              <w:rPr>
                <w:rFonts w:ascii="Cambria Math" w:eastAsiaTheme="minorEastAsia" w:hAnsi="Cambria Math"/>
                <w:i/>
              </w:rPr>
            </m:ctrlPr>
          </m:e>
        </m:d>
      </m:oMath>
      <w:r w:rsidRPr="009E3EC4">
        <w:t xml:space="preserve"> ): foreign real income</w:t>
      </w:r>
    </w:p>
    <w:p w:rsidR="009E3EC4" w:rsidRPr="009E3EC4" w:rsidRDefault="009E3EC4" w:rsidP="00343024">
      <w:pPr>
        <w:spacing w:after="0"/>
      </w:pPr>
      <w:r w:rsidRPr="009E3EC4">
        <w:t>The cointegrating vector is given by:</w:t>
      </w:r>
      <w:r w:rsidR="008D1D55">
        <w:t xml:space="preserve">    </w:t>
      </w:r>
      <m:oMath>
        <m:r>
          <w:rPr>
            <w:rFonts w:ascii="Cambria Math" w:hAnsi="Cambria Math"/>
          </w:rPr>
          <m:t>β'</m:t>
        </m:r>
      </m:oMath>
      <w:r w:rsidRPr="009E3EC4">
        <w:t>= (1, -1</w:t>
      </w:r>
      <w:r w:rsidR="008D1D55">
        <w:t>)</w:t>
      </w:r>
    </w:p>
    <w:p w:rsidR="009E3EC4" w:rsidRPr="009E3EC4" w:rsidRDefault="009E3EC4" w:rsidP="00343024">
      <w:pPr>
        <w:spacing w:after="0"/>
      </w:pPr>
      <w:r w:rsidRPr="009E3EC4">
        <w:t>This framework originates from the monetary approach to exchange rates developed by Frenkel (1976) and Mussa (1976, 1979), where exchange rates are determined by relative money supplies and output levels across countries.</w:t>
      </w:r>
    </w:p>
    <w:p w:rsidR="009E3EC4" w:rsidRPr="009E3EC4" w:rsidRDefault="009E3EC4" w:rsidP="00343024">
      <w:pPr>
        <w:spacing w:after="0"/>
      </w:pPr>
      <w:r w:rsidRPr="009E3EC4">
        <w:t>Although income data is not explicitly included in this implementation, the framework motivates the use of relative monetary variables as key drivers of exchange rate dynamics.</w:t>
      </w:r>
    </w:p>
    <w:p w:rsidR="009E3EC4" w:rsidRPr="009E3EC4" w:rsidRDefault="009E3EC4" w:rsidP="00343024">
      <w:pPr>
        <w:spacing w:after="0"/>
      </w:pPr>
      <w:r w:rsidRPr="009E3EC4">
        <w:pict>
          <v:rect id="_x0000_i1028" style="width:0;height:1.5pt" o:hralign="center" o:hrstd="t" o:hr="t" fillcolor="#a0a0a0" stroked="f"/>
        </w:pict>
      </w:r>
    </w:p>
    <w:p w:rsidR="009E3EC4" w:rsidRPr="009E3EC4" w:rsidRDefault="009E3EC4" w:rsidP="00343024">
      <w:pPr>
        <w:spacing w:after="0"/>
        <w:rPr>
          <w:b/>
          <w:bCs/>
        </w:rPr>
      </w:pPr>
      <w:r w:rsidRPr="009E3EC4">
        <w:rPr>
          <w:b/>
          <w:bCs/>
        </w:rPr>
        <w:t>4.2 Vector Autoregression (VAR)</w:t>
      </w:r>
    </w:p>
    <w:p w:rsidR="009E3EC4" w:rsidRPr="009E3EC4" w:rsidRDefault="009E3EC4" w:rsidP="00343024">
      <w:pPr>
        <w:spacing w:after="0"/>
      </w:pPr>
      <w:r w:rsidRPr="009E3EC4">
        <w:t>The VAR model captures dynamic interactions between multiple time series variables. A VAR(p) model is defined as:</w:t>
      </w:r>
      <w:r w:rsidR="008D1D55">
        <w:t xml:space="preserve"> </w:t>
      </w:r>
      <w:r w:rsidR="008D1D55" w:rsidRPr="008D1D55">
        <w:drawing>
          <wp:inline distT="0" distB="0" distL="0" distR="0" wp14:anchorId="00CA9ACF" wp14:editId="040C2E00">
            <wp:extent cx="4190993" cy="276225"/>
            <wp:effectExtent l="0" t="0" r="635" b="0"/>
            <wp:docPr id="109783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37918" name=""/>
                    <pic:cNvPicPr/>
                  </pic:nvPicPr>
                  <pic:blipFill>
                    <a:blip r:embed="rId5"/>
                    <a:stretch>
                      <a:fillRect/>
                    </a:stretch>
                  </pic:blipFill>
                  <pic:spPr>
                    <a:xfrm>
                      <a:off x="0" y="0"/>
                      <a:ext cx="4199758" cy="276803"/>
                    </a:xfrm>
                    <a:prstGeom prst="rect">
                      <a:avLst/>
                    </a:prstGeom>
                  </pic:spPr>
                </pic:pic>
              </a:graphicData>
            </a:graphic>
          </wp:inline>
        </w:drawing>
      </w:r>
    </w:p>
    <w:p w:rsidR="009E3EC4" w:rsidRPr="009E3EC4" w:rsidRDefault="009E3EC4" w:rsidP="00343024">
      <w:pPr>
        <w:spacing w:after="0"/>
      </w:pPr>
      <w:r w:rsidRPr="009E3EC4">
        <w:t>where:</w:t>
      </w:r>
    </w:p>
    <w:p w:rsidR="009E3EC4" w:rsidRPr="009E3EC4" w:rsidRDefault="009E3EC4" w:rsidP="00343024">
      <w:pPr>
        <w:numPr>
          <w:ilvl w:val="0"/>
          <w:numId w:val="4"/>
        </w:numPr>
        <w:spacing w:after="0"/>
      </w:pPr>
      <w:r w:rsidRPr="009E3EC4">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9E3EC4">
        <w:t>) is a vector containing exchange rates and fundamentals</w:t>
      </w:r>
    </w:p>
    <w:p w:rsidR="009E3EC4" w:rsidRPr="009E3EC4" w:rsidRDefault="009E3EC4" w:rsidP="00343024">
      <w:pPr>
        <w:numPr>
          <w:ilvl w:val="0"/>
          <w:numId w:val="4"/>
        </w:numPr>
        <w:spacing w:after="0"/>
      </w:pPr>
      <w:r w:rsidRPr="009E3EC4">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9E3EC4">
        <w:t>) are coefficient matrices</w:t>
      </w:r>
    </w:p>
    <w:p w:rsidR="009E3EC4" w:rsidRPr="009E3EC4" w:rsidRDefault="009E3EC4" w:rsidP="00343024">
      <w:pPr>
        <w:numPr>
          <w:ilvl w:val="0"/>
          <w:numId w:val="4"/>
        </w:numPr>
        <w:spacing w:after="0"/>
      </w:pPr>
      <w:r w:rsidRPr="009E3EC4">
        <w:t xml:space="preserve">( </w:t>
      </w:r>
      <m:oMath>
        <m:sSub>
          <m:sSubPr>
            <m:ctrlPr>
              <w:rPr>
                <w:rFonts w:ascii="Cambria Math" w:hAnsi="Cambria Math"/>
                <w:i/>
              </w:rPr>
            </m:ctrlPr>
          </m:sSubPr>
          <m:e>
            <m:r>
              <w:rPr>
                <w:rFonts w:ascii="Cambria Math" w:hAnsi="Cambria Math"/>
              </w:rPr>
              <m:t>ε</m:t>
            </m:r>
          </m:e>
          <m:sub>
            <m:r>
              <w:rPr>
                <w:rFonts w:ascii="Cambria Math" w:hAnsi="Cambria Math"/>
              </w:rPr>
              <m:t>t</m:t>
            </m:r>
          </m:sub>
        </m:sSub>
      </m:oMath>
      <w:r w:rsidRPr="009E3EC4">
        <w:t xml:space="preserve"> ) is a white noise error term</w:t>
      </w:r>
    </w:p>
    <w:p w:rsidR="009E3EC4" w:rsidRPr="009E3EC4" w:rsidRDefault="009E3EC4" w:rsidP="00343024">
      <w:pPr>
        <w:spacing w:after="0"/>
      </w:pPr>
      <w:r w:rsidRPr="009E3EC4">
        <w:t xml:space="preserve">The lag length </w:t>
      </w:r>
      <w:proofErr w:type="gramStart"/>
      <w:r w:rsidRPr="009E3EC4">
        <w:t>( p</w:t>
      </w:r>
      <w:proofErr w:type="gramEnd"/>
      <w:r w:rsidRPr="009E3EC4">
        <w:t xml:space="preserve"> ) is selected using the Akaike Information Criterion (AIC).</w:t>
      </w:r>
    </w:p>
    <w:p w:rsidR="009E3EC4" w:rsidRPr="009E3EC4" w:rsidRDefault="009E3EC4" w:rsidP="00343024">
      <w:pPr>
        <w:spacing w:after="0"/>
      </w:pPr>
      <w:r w:rsidRPr="009E3EC4">
        <w:t>The VAR framework is particularly useful as it allows for:</w:t>
      </w:r>
    </w:p>
    <w:p w:rsidR="009E3EC4" w:rsidRPr="009E3EC4" w:rsidRDefault="009E3EC4" w:rsidP="00343024">
      <w:pPr>
        <w:numPr>
          <w:ilvl w:val="0"/>
          <w:numId w:val="5"/>
        </w:numPr>
        <w:spacing w:after="0"/>
      </w:pPr>
      <w:r w:rsidRPr="009E3EC4">
        <w:t>feedback effects between variables</w:t>
      </w:r>
    </w:p>
    <w:p w:rsidR="009E3EC4" w:rsidRPr="009E3EC4" w:rsidRDefault="009E3EC4" w:rsidP="00343024">
      <w:pPr>
        <w:numPr>
          <w:ilvl w:val="0"/>
          <w:numId w:val="5"/>
        </w:numPr>
        <w:spacing w:after="0"/>
      </w:pPr>
      <w:r w:rsidRPr="009E3EC4">
        <w:t>dynamic adjustment processes</w:t>
      </w:r>
    </w:p>
    <w:p w:rsidR="009E3EC4" w:rsidRPr="009E3EC4" w:rsidRDefault="009E3EC4" w:rsidP="00343024">
      <w:pPr>
        <w:numPr>
          <w:ilvl w:val="0"/>
          <w:numId w:val="5"/>
        </w:numPr>
        <w:spacing w:after="0"/>
      </w:pPr>
      <w:r w:rsidRPr="009E3EC4">
        <w:t>flexible modelling without strong theoretical restrictions</w:t>
      </w:r>
    </w:p>
    <w:p w:rsidR="009E3EC4" w:rsidRPr="009E3EC4" w:rsidRDefault="009E3EC4" w:rsidP="00343024">
      <w:pPr>
        <w:spacing w:after="0"/>
      </w:pPr>
      <w:r w:rsidRPr="009E3EC4">
        <w:pict>
          <v:rect id="_x0000_i1029" style="width:0;height:1.5pt" o:hralign="center" o:hrstd="t" o:hr="t" fillcolor="#a0a0a0" stroked="f"/>
        </w:pict>
      </w:r>
    </w:p>
    <w:p w:rsidR="009E3EC4" w:rsidRPr="009E3EC4" w:rsidRDefault="009E3EC4" w:rsidP="00343024">
      <w:pPr>
        <w:spacing w:after="0"/>
        <w:rPr>
          <w:b/>
          <w:bCs/>
        </w:rPr>
      </w:pPr>
      <w:r w:rsidRPr="009E3EC4">
        <w:rPr>
          <w:b/>
          <w:bCs/>
        </w:rPr>
        <w:t>4.3 Random Walk Benchmark</w:t>
      </w:r>
    </w:p>
    <w:p w:rsidR="009E3EC4" w:rsidRPr="009E3EC4" w:rsidRDefault="009E3EC4" w:rsidP="00343024">
      <w:pPr>
        <w:spacing w:after="0"/>
      </w:pPr>
      <w:r w:rsidRPr="009E3EC4">
        <w:t>The random walk model assumes that exchange rate changes are unpredictable:</w:t>
      </w:r>
      <w:r w:rsidR="00343024">
        <w:t xml:space="preserve">  </w:t>
      </w:r>
      <w:r w:rsidR="00343024" w:rsidRPr="00343024">
        <w:drawing>
          <wp:inline distT="0" distB="0" distL="0" distR="0" wp14:anchorId="440B991B" wp14:editId="5628EE27">
            <wp:extent cx="640080" cy="202444"/>
            <wp:effectExtent l="0" t="0" r="7620" b="7620"/>
            <wp:docPr id="31657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78074" name=""/>
                    <pic:cNvPicPr/>
                  </pic:nvPicPr>
                  <pic:blipFill>
                    <a:blip r:embed="rId6"/>
                    <a:stretch>
                      <a:fillRect/>
                    </a:stretch>
                  </pic:blipFill>
                  <pic:spPr>
                    <a:xfrm>
                      <a:off x="0" y="0"/>
                      <a:ext cx="662148" cy="209424"/>
                    </a:xfrm>
                    <a:prstGeom prst="rect">
                      <a:avLst/>
                    </a:prstGeom>
                  </pic:spPr>
                </pic:pic>
              </a:graphicData>
            </a:graphic>
          </wp:inline>
        </w:drawing>
      </w:r>
      <w:r w:rsidRPr="009E3EC4">
        <w:br/>
        <w:t>or in first differences:</w:t>
      </w:r>
      <w:r w:rsidR="00343024">
        <w:t xml:space="preserve"> </w:t>
      </w:r>
      <w:r w:rsidR="00343024" w:rsidRPr="00343024">
        <w:drawing>
          <wp:inline distT="0" distB="0" distL="0" distR="0" wp14:anchorId="718F4F7C" wp14:editId="3115ACDD">
            <wp:extent cx="684020" cy="205740"/>
            <wp:effectExtent l="0" t="0" r="1905" b="3810"/>
            <wp:docPr id="34181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12144" name=""/>
                    <pic:cNvPicPr/>
                  </pic:nvPicPr>
                  <pic:blipFill>
                    <a:blip r:embed="rId7"/>
                    <a:stretch>
                      <a:fillRect/>
                    </a:stretch>
                  </pic:blipFill>
                  <pic:spPr>
                    <a:xfrm>
                      <a:off x="0" y="0"/>
                      <a:ext cx="684020" cy="205740"/>
                    </a:xfrm>
                    <a:prstGeom prst="rect">
                      <a:avLst/>
                    </a:prstGeom>
                  </pic:spPr>
                </pic:pic>
              </a:graphicData>
            </a:graphic>
          </wp:inline>
        </w:drawing>
      </w:r>
    </w:p>
    <w:p w:rsidR="009E3EC4" w:rsidRPr="009E3EC4" w:rsidRDefault="009E3EC4" w:rsidP="00343024">
      <w:pPr>
        <w:spacing w:after="0"/>
      </w:pPr>
      <w:r w:rsidRPr="009E3EC4">
        <w:t>This model serves as a benchmark under the Efficient Market Hypothesis, which implies that all available information is already incorporated into current prices.</w:t>
      </w:r>
    </w:p>
    <w:p w:rsidR="009E3EC4" w:rsidRPr="009E3EC4" w:rsidRDefault="009E3EC4" w:rsidP="00343024">
      <w:pPr>
        <w:spacing w:after="0"/>
      </w:pPr>
      <w:r w:rsidRPr="009E3EC4">
        <w:pict>
          <v:rect id="_x0000_i1030" style="width:0;height:1.5pt" o:hralign="center" o:hrstd="t" o:hr="t" fillcolor="#a0a0a0" stroked="f"/>
        </w:pict>
      </w:r>
    </w:p>
    <w:p w:rsidR="009E3EC4" w:rsidRPr="009E3EC4" w:rsidRDefault="009E3EC4" w:rsidP="00343024">
      <w:pPr>
        <w:spacing w:after="0"/>
        <w:rPr>
          <w:b/>
          <w:bCs/>
        </w:rPr>
      </w:pPr>
      <w:r w:rsidRPr="009E3EC4">
        <w:rPr>
          <w:b/>
          <w:bCs/>
        </w:rPr>
        <w:t>4.4 Random Forest Model</w:t>
      </w:r>
    </w:p>
    <w:p w:rsidR="009E3EC4" w:rsidRPr="009E3EC4" w:rsidRDefault="009E3EC4" w:rsidP="00343024">
      <w:pPr>
        <w:spacing w:after="0"/>
      </w:pPr>
      <w:r w:rsidRPr="009E3EC4">
        <w:t>The Random Forest model is a machine learning algorithm that constructs an ensemble of decision trees. The model can be expressed as:</w:t>
      </w:r>
      <w:r w:rsidR="00343024">
        <w:t xml:space="preserve">   </w:t>
      </w:r>
      <w:r w:rsidR="00343024" w:rsidRPr="00343024">
        <w:drawing>
          <wp:inline distT="0" distB="0" distL="0" distR="0" wp14:anchorId="7DB566F6" wp14:editId="3DAD6FE7">
            <wp:extent cx="693420" cy="179378"/>
            <wp:effectExtent l="0" t="0" r="0" b="0"/>
            <wp:docPr id="70701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13177" name=""/>
                    <pic:cNvPicPr/>
                  </pic:nvPicPr>
                  <pic:blipFill>
                    <a:blip r:embed="rId8"/>
                    <a:stretch>
                      <a:fillRect/>
                    </a:stretch>
                  </pic:blipFill>
                  <pic:spPr>
                    <a:xfrm>
                      <a:off x="0" y="0"/>
                      <a:ext cx="785202" cy="203121"/>
                    </a:xfrm>
                    <a:prstGeom prst="rect">
                      <a:avLst/>
                    </a:prstGeom>
                  </pic:spPr>
                </pic:pic>
              </a:graphicData>
            </a:graphic>
          </wp:inline>
        </w:drawing>
      </w:r>
    </w:p>
    <w:p w:rsidR="009E3EC4" w:rsidRPr="009E3EC4" w:rsidRDefault="009E3EC4" w:rsidP="00343024">
      <w:pPr>
        <w:spacing w:after="0"/>
      </w:pPr>
      <w:r w:rsidRPr="009E3EC4">
        <w:t xml:space="preserve">where </w:t>
      </w:r>
      <w:proofErr w:type="gramStart"/>
      <w:r w:rsidRPr="009E3EC4">
        <w:t xml:space="preserve">( </w:t>
      </w:r>
      <w:proofErr w:type="spellStart"/>
      <w:r w:rsidRPr="009E3EC4">
        <w:t>X</w:t>
      </w:r>
      <w:proofErr w:type="gramEnd"/>
      <w:r w:rsidRPr="009E3EC4">
        <w:t>_</w:t>
      </w:r>
      <w:proofErr w:type="gramStart"/>
      <w:r w:rsidRPr="009E3EC4">
        <w:t>t</w:t>
      </w:r>
      <w:proofErr w:type="spellEnd"/>
      <w:r w:rsidRPr="009E3EC4">
        <w:t xml:space="preserve"> )</w:t>
      </w:r>
      <w:proofErr w:type="gramEnd"/>
      <w:r w:rsidRPr="009E3EC4">
        <w:t xml:space="preserve"> includes lagged values of all variables:</w:t>
      </w:r>
    </w:p>
    <w:p w:rsidR="009E3EC4" w:rsidRPr="009E3EC4" w:rsidRDefault="00343024" w:rsidP="00343024">
      <w:pPr>
        <w:spacing w:after="0"/>
      </w:pPr>
      <w:r w:rsidRPr="00343024">
        <w:drawing>
          <wp:inline distT="0" distB="0" distL="0" distR="0" wp14:anchorId="289BF68E" wp14:editId="33C6264F">
            <wp:extent cx="1424940" cy="177775"/>
            <wp:effectExtent l="0" t="0" r="3810" b="0"/>
            <wp:docPr id="141648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0396" name=""/>
                    <pic:cNvPicPr/>
                  </pic:nvPicPr>
                  <pic:blipFill>
                    <a:blip r:embed="rId9"/>
                    <a:stretch>
                      <a:fillRect/>
                    </a:stretch>
                  </pic:blipFill>
                  <pic:spPr>
                    <a:xfrm>
                      <a:off x="0" y="0"/>
                      <a:ext cx="1594897" cy="198979"/>
                    </a:xfrm>
                    <a:prstGeom prst="rect">
                      <a:avLst/>
                    </a:prstGeom>
                  </pic:spPr>
                </pic:pic>
              </a:graphicData>
            </a:graphic>
          </wp:inline>
        </w:drawing>
      </w:r>
      <w:r w:rsidR="009E3EC4" w:rsidRPr="009E3EC4">
        <w:br/>
        <w:t>Random Forests are capable of capturing:</w:t>
      </w:r>
    </w:p>
    <w:p w:rsidR="009E3EC4" w:rsidRPr="009E3EC4" w:rsidRDefault="009E3EC4" w:rsidP="00343024">
      <w:pPr>
        <w:numPr>
          <w:ilvl w:val="0"/>
          <w:numId w:val="6"/>
        </w:numPr>
        <w:spacing w:after="0"/>
      </w:pPr>
      <w:r w:rsidRPr="009E3EC4">
        <w:t>nonlinear relationships</w:t>
      </w:r>
    </w:p>
    <w:p w:rsidR="009E3EC4" w:rsidRPr="009E3EC4" w:rsidRDefault="009E3EC4" w:rsidP="00343024">
      <w:pPr>
        <w:numPr>
          <w:ilvl w:val="0"/>
          <w:numId w:val="6"/>
        </w:numPr>
        <w:spacing w:after="0"/>
      </w:pPr>
      <w:r w:rsidRPr="009E3EC4">
        <w:t>interaction effects</w:t>
      </w:r>
    </w:p>
    <w:p w:rsidR="009E3EC4" w:rsidRPr="009E3EC4" w:rsidRDefault="009E3EC4" w:rsidP="00343024">
      <w:pPr>
        <w:numPr>
          <w:ilvl w:val="0"/>
          <w:numId w:val="6"/>
        </w:numPr>
        <w:spacing w:after="0"/>
      </w:pPr>
      <w:r w:rsidRPr="009E3EC4">
        <w:t>complex patterns in the data</w:t>
      </w:r>
    </w:p>
    <w:p w:rsidR="009E3EC4" w:rsidRPr="009E3EC4" w:rsidRDefault="009E3EC4" w:rsidP="00343024">
      <w:pPr>
        <w:spacing w:after="0"/>
      </w:pPr>
      <w:r w:rsidRPr="009E3EC4">
        <w:t>This makes them a useful complement to linear econometric models.</w:t>
      </w:r>
    </w:p>
    <w:p w:rsidR="009E3EC4" w:rsidRPr="009E3EC4" w:rsidRDefault="009E3EC4" w:rsidP="00343024">
      <w:pPr>
        <w:spacing w:after="0"/>
      </w:pPr>
      <w:r w:rsidRPr="009E3EC4">
        <w:pict>
          <v:rect id="_x0000_i1031" style="width:0;height:1.5pt" o:hralign="center" o:hrstd="t" o:hr="t" fillcolor="#a0a0a0" stroked="f"/>
        </w:pict>
      </w:r>
    </w:p>
    <w:p w:rsidR="009E3EC4" w:rsidRPr="009E3EC4" w:rsidRDefault="009E3EC4" w:rsidP="00343024">
      <w:pPr>
        <w:spacing w:after="0"/>
        <w:rPr>
          <w:b/>
          <w:bCs/>
        </w:rPr>
      </w:pPr>
      <w:r w:rsidRPr="009E3EC4">
        <w:rPr>
          <w:b/>
          <w:bCs/>
        </w:rPr>
        <w:lastRenderedPageBreak/>
        <w:t>5. Methodology</w:t>
      </w:r>
    </w:p>
    <w:p w:rsidR="009E3EC4" w:rsidRPr="009E3EC4" w:rsidRDefault="009E3EC4" w:rsidP="00343024">
      <w:pPr>
        <w:spacing w:after="0"/>
      </w:pPr>
      <w:r w:rsidRPr="009E3EC4">
        <w:t>A rolling window forecasting approach is used to evaluate model performance:</w:t>
      </w:r>
    </w:p>
    <w:p w:rsidR="009E3EC4" w:rsidRPr="009E3EC4" w:rsidRDefault="009E3EC4" w:rsidP="00343024">
      <w:pPr>
        <w:numPr>
          <w:ilvl w:val="0"/>
          <w:numId w:val="7"/>
        </w:numPr>
        <w:spacing w:after="0"/>
      </w:pPr>
      <w:r w:rsidRPr="009E3EC4">
        <w:t>A fixed window size is used for estimation</w:t>
      </w:r>
    </w:p>
    <w:p w:rsidR="009E3EC4" w:rsidRPr="009E3EC4" w:rsidRDefault="009E3EC4" w:rsidP="00343024">
      <w:pPr>
        <w:numPr>
          <w:ilvl w:val="0"/>
          <w:numId w:val="7"/>
        </w:numPr>
        <w:spacing w:after="0"/>
      </w:pPr>
      <w:r w:rsidRPr="009E3EC4">
        <w:t>Models are re-estimated at each time step</w:t>
      </w:r>
    </w:p>
    <w:p w:rsidR="009E3EC4" w:rsidRPr="009E3EC4" w:rsidRDefault="009E3EC4" w:rsidP="00343024">
      <w:pPr>
        <w:numPr>
          <w:ilvl w:val="0"/>
          <w:numId w:val="7"/>
        </w:numPr>
        <w:spacing w:after="0"/>
      </w:pPr>
      <w:r w:rsidRPr="009E3EC4">
        <w:t>Forecasts are generated up to 12 months ahead</w:t>
      </w:r>
    </w:p>
    <w:p w:rsidR="009E3EC4" w:rsidRPr="009E3EC4" w:rsidRDefault="009E3EC4" w:rsidP="00343024">
      <w:pPr>
        <w:spacing w:after="0"/>
      </w:pPr>
      <w:r w:rsidRPr="009E3EC4">
        <w:t>Forecast accuracy is measured using Root Mean Squared Error (RMSE):</w:t>
      </w:r>
    </w:p>
    <w:p w:rsidR="00343024" w:rsidRDefault="00343024" w:rsidP="00343024">
      <w:pPr>
        <w:spacing w:after="0"/>
        <w:jc w:val="center"/>
      </w:pPr>
      <w:r w:rsidRPr="00343024">
        <w:drawing>
          <wp:inline distT="0" distB="0" distL="0" distR="0" wp14:anchorId="7465ED63" wp14:editId="012E08BE">
            <wp:extent cx="2956560" cy="404134"/>
            <wp:effectExtent l="0" t="0" r="0" b="0"/>
            <wp:docPr id="87830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01178" name=""/>
                    <pic:cNvPicPr/>
                  </pic:nvPicPr>
                  <pic:blipFill>
                    <a:blip r:embed="rId10"/>
                    <a:stretch>
                      <a:fillRect/>
                    </a:stretch>
                  </pic:blipFill>
                  <pic:spPr>
                    <a:xfrm>
                      <a:off x="0" y="0"/>
                      <a:ext cx="2976341" cy="406838"/>
                    </a:xfrm>
                    <a:prstGeom prst="rect">
                      <a:avLst/>
                    </a:prstGeom>
                  </pic:spPr>
                </pic:pic>
              </a:graphicData>
            </a:graphic>
          </wp:inline>
        </w:drawing>
      </w:r>
    </w:p>
    <w:p w:rsidR="009E3EC4" w:rsidRPr="009E3EC4" w:rsidRDefault="009E3EC4" w:rsidP="00343024">
      <w:pPr>
        <w:spacing w:after="0"/>
      </w:pPr>
      <w:r w:rsidRPr="009E3EC4">
        <w:t>To compare models, relative performance is calculated as:</w:t>
      </w:r>
      <w:r w:rsidR="00343024">
        <w:t xml:space="preserve">   </w:t>
      </w:r>
      <w:r w:rsidR="00343024" w:rsidRPr="00343024">
        <w:drawing>
          <wp:inline distT="0" distB="0" distL="0" distR="0" wp14:anchorId="66E0162C" wp14:editId="78875F0A">
            <wp:extent cx="632337" cy="320040"/>
            <wp:effectExtent l="0" t="0" r="0" b="3810"/>
            <wp:docPr id="195678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81095" name=""/>
                    <pic:cNvPicPr/>
                  </pic:nvPicPr>
                  <pic:blipFill>
                    <a:blip r:embed="rId11"/>
                    <a:stretch>
                      <a:fillRect/>
                    </a:stretch>
                  </pic:blipFill>
                  <pic:spPr>
                    <a:xfrm>
                      <a:off x="0" y="0"/>
                      <a:ext cx="652893" cy="330444"/>
                    </a:xfrm>
                    <a:prstGeom prst="rect">
                      <a:avLst/>
                    </a:prstGeom>
                  </pic:spPr>
                </pic:pic>
              </a:graphicData>
            </a:graphic>
          </wp:inline>
        </w:drawing>
      </w:r>
    </w:p>
    <w:p w:rsidR="009E3EC4" w:rsidRPr="009E3EC4" w:rsidRDefault="009E3EC4" w:rsidP="00343024">
      <w:pPr>
        <w:spacing w:after="0"/>
      </w:pPr>
      <w:r w:rsidRPr="009E3EC4">
        <w:pict>
          <v:rect id="_x0000_i1032" style="width:0;height:1.5pt" o:hralign="center" o:hrstd="t" o:hr="t" fillcolor="#a0a0a0" stroked="f"/>
        </w:pict>
      </w:r>
    </w:p>
    <w:p w:rsidR="009E3EC4" w:rsidRPr="009E3EC4" w:rsidRDefault="009E3EC4" w:rsidP="00343024">
      <w:pPr>
        <w:spacing w:after="0"/>
        <w:rPr>
          <w:b/>
          <w:bCs/>
        </w:rPr>
      </w:pPr>
      <w:r w:rsidRPr="009E3EC4">
        <w:rPr>
          <w:b/>
          <w:bCs/>
        </w:rPr>
        <w:t>6. Results</w:t>
      </w:r>
    </w:p>
    <w:p w:rsidR="009E3EC4" w:rsidRPr="009E3EC4" w:rsidRDefault="009E3EC4" w:rsidP="00343024">
      <w:pPr>
        <w:spacing w:after="0"/>
      </w:pPr>
      <w:r w:rsidRPr="009E3EC4">
        <w:t>The results show a clear ranking of model performance across all forecast horizons:</w:t>
      </w:r>
    </w:p>
    <w:p w:rsidR="009E3EC4" w:rsidRPr="009E3EC4" w:rsidRDefault="009E3EC4" w:rsidP="00343024">
      <w:pPr>
        <w:numPr>
          <w:ilvl w:val="0"/>
          <w:numId w:val="8"/>
        </w:numPr>
        <w:spacing w:after="0"/>
      </w:pPr>
      <w:r w:rsidRPr="009E3EC4">
        <w:t>The VAR model consistently achieves the lowest RMSE</w:t>
      </w:r>
    </w:p>
    <w:p w:rsidR="009E3EC4" w:rsidRPr="009E3EC4" w:rsidRDefault="009E3EC4" w:rsidP="00343024">
      <w:pPr>
        <w:numPr>
          <w:ilvl w:val="0"/>
          <w:numId w:val="8"/>
        </w:numPr>
        <w:spacing w:after="0"/>
      </w:pPr>
      <w:r w:rsidRPr="009E3EC4">
        <w:t>The Random Forest model improves upon the random walk but does not outperform the VAR</w:t>
      </w:r>
    </w:p>
    <w:p w:rsidR="009E3EC4" w:rsidRPr="009E3EC4" w:rsidRDefault="009E3EC4" w:rsidP="00343024">
      <w:pPr>
        <w:numPr>
          <w:ilvl w:val="0"/>
          <w:numId w:val="8"/>
        </w:numPr>
        <w:spacing w:after="0"/>
      </w:pPr>
      <w:r w:rsidRPr="009E3EC4">
        <w:t>The random walk remains a strong benchmark</w:t>
      </w:r>
    </w:p>
    <w:p w:rsidR="009E3EC4" w:rsidRPr="009E3EC4" w:rsidRDefault="009E3EC4" w:rsidP="00343024">
      <w:pPr>
        <w:spacing w:after="0"/>
      </w:pPr>
      <w:r w:rsidRPr="009E3EC4">
        <w:t>Across horizons, the VAR model reduces RMSE by approximately 20–30% relative to the random walk. The Random Forest achieves smaller improvements, typically in the range of 5–20%.</w:t>
      </w:r>
    </w:p>
    <w:p w:rsidR="009E3EC4" w:rsidRPr="009E3EC4" w:rsidRDefault="009E3EC4" w:rsidP="00343024">
      <w:pPr>
        <w:spacing w:after="0"/>
      </w:pPr>
      <w:r w:rsidRPr="009E3EC4">
        <w:pict>
          <v:rect id="_x0000_i1033" style="width:0;height:1.5pt" o:hralign="center" o:hrstd="t" o:hr="t" fillcolor="#a0a0a0" stroked="f"/>
        </w:pict>
      </w:r>
    </w:p>
    <w:p w:rsidR="009E3EC4" w:rsidRPr="009E3EC4" w:rsidRDefault="009E3EC4" w:rsidP="00343024">
      <w:pPr>
        <w:spacing w:after="0"/>
        <w:rPr>
          <w:b/>
          <w:bCs/>
        </w:rPr>
      </w:pPr>
      <w:r w:rsidRPr="009E3EC4">
        <w:rPr>
          <w:b/>
          <w:bCs/>
        </w:rPr>
        <w:t>7. Discussion</w:t>
      </w:r>
    </w:p>
    <w:p w:rsidR="009E3EC4" w:rsidRDefault="009E3EC4" w:rsidP="00343024">
      <w:pPr>
        <w:spacing w:after="0"/>
      </w:pPr>
      <w:r w:rsidRPr="009E3EC4">
        <w:t>The findings suggest that macroeconomic fundamentals contain useful information for predicting exchange rates. The strong performance of the VAR model indicates that linear relationships between variables are sufficient to capture most of the predictive structure in the data.</w:t>
      </w:r>
    </w:p>
    <w:p w:rsidR="00343024" w:rsidRPr="009E3EC4" w:rsidRDefault="00343024" w:rsidP="00343024">
      <w:pPr>
        <w:spacing w:after="0"/>
      </w:pPr>
    </w:p>
    <w:p w:rsidR="009E3EC4" w:rsidRPr="009E3EC4" w:rsidRDefault="009E3EC4" w:rsidP="00343024">
      <w:pPr>
        <w:spacing w:after="0"/>
      </w:pPr>
      <w:r w:rsidRPr="009E3EC4">
        <w:t>While the Random Forest model is able to outperform the random walk, its inability to outperform the VAR suggests that nonlinearities in the data are either weak or not stable over time.</w:t>
      </w:r>
      <w:r w:rsidR="00343024">
        <w:t xml:space="preserve"> </w:t>
      </w:r>
      <w:r w:rsidRPr="009E3EC4">
        <w:t>These results are consistent with the broader literature, which finds that exchange rate predictability is limited and that simple models often perform surprisingly well.</w:t>
      </w:r>
    </w:p>
    <w:p w:rsidR="009E3EC4" w:rsidRPr="009E3EC4" w:rsidRDefault="009E3EC4" w:rsidP="00343024">
      <w:pPr>
        <w:spacing w:after="0"/>
      </w:pPr>
      <w:r w:rsidRPr="009E3EC4">
        <w:pict>
          <v:rect id="_x0000_i1034" style="width:0;height:1.5pt" o:hralign="center" o:hrstd="t" o:hr="t" fillcolor="#a0a0a0" stroked="f"/>
        </w:pict>
      </w:r>
    </w:p>
    <w:p w:rsidR="009E3EC4" w:rsidRPr="009E3EC4" w:rsidRDefault="009E3EC4" w:rsidP="00343024">
      <w:pPr>
        <w:spacing w:after="0"/>
        <w:rPr>
          <w:b/>
          <w:bCs/>
        </w:rPr>
      </w:pPr>
      <w:r w:rsidRPr="009E3EC4">
        <w:rPr>
          <w:b/>
          <w:bCs/>
        </w:rPr>
        <w:t>8. Conclusion</w:t>
      </w:r>
    </w:p>
    <w:p w:rsidR="009E3EC4" w:rsidRPr="009E3EC4" w:rsidRDefault="009E3EC4" w:rsidP="00343024">
      <w:pPr>
        <w:spacing w:after="0"/>
      </w:pPr>
      <w:r w:rsidRPr="009E3EC4">
        <w:t>This study provides evidence that:</w:t>
      </w:r>
    </w:p>
    <w:p w:rsidR="009E3EC4" w:rsidRPr="009E3EC4" w:rsidRDefault="009E3EC4" w:rsidP="00343024">
      <w:pPr>
        <w:numPr>
          <w:ilvl w:val="0"/>
          <w:numId w:val="9"/>
        </w:numPr>
        <w:spacing w:after="0"/>
      </w:pPr>
      <w:r w:rsidRPr="009E3EC4">
        <w:t>Macroeconomic fundamentals improve exchange rate forecasts</w:t>
      </w:r>
    </w:p>
    <w:p w:rsidR="009E3EC4" w:rsidRPr="009E3EC4" w:rsidRDefault="009E3EC4" w:rsidP="00343024">
      <w:pPr>
        <w:numPr>
          <w:ilvl w:val="0"/>
          <w:numId w:val="9"/>
        </w:numPr>
        <w:spacing w:after="0"/>
      </w:pPr>
      <w:r w:rsidRPr="009E3EC4">
        <w:t>Linear econometric models remain highly effective</w:t>
      </w:r>
    </w:p>
    <w:p w:rsidR="009E3EC4" w:rsidRPr="009E3EC4" w:rsidRDefault="009E3EC4" w:rsidP="00343024">
      <w:pPr>
        <w:numPr>
          <w:ilvl w:val="0"/>
          <w:numId w:val="9"/>
        </w:numPr>
        <w:spacing w:after="0"/>
      </w:pPr>
      <w:r w:rsidRPr="009E3EC4">
        <w:t>Machine learning models offer limited additional gains</w:t>
      </w:r>
    </w:p>
    <w:p w:rsidR="009E3EC4" w:rsidRPr="009E3EC4" w:rsidRDefault="009E3EC4" w:rsidP="00343024">
      <w:pPr>
        <w:spacing w:after="0"/>
      </w:pPr>
      <w:r w:rsidRPr="009E3EC4">
        <w:t>Overall, the results support the view that while exchange rates are difficult to predict, incorporating macroeconomic information can yield improvements over naïve benchmarks.</w:t>
      </w:r>
    </w:p>
    <w:p w:rsidR="009E3EC4" w:rsidRPr="009E3EC4" w:rsidRDefault="009E3EC4" w:rsidP="00343024">
      <w:pPr>
        <w:spacing w:after="0"/>
      </w:pPr>
      <w:r w:rsidRPr="009E3EC4">
        <w:pict>
          <v:rect id="_x0000_i1035" style="width:0;height:1.5pt" o:hralign="center" o:hrstd="t" o:hr="t" fillcolor="#a0a0a0" stroked="f"/>
        </w:pict>
      </w:r>
    </w:p>
    <w:p w:rsidR="009E3EC4" w:rsidRPr="009E3EC4" w:rsidRDefault="009E3EC4" w:rsidP="00343024">
      <w:pPr>
        <w:spacing w:after="0"/>
        <w:rPr>
          <w:b/>
          <w:bCs/>
        </w:rPr>
      </w:pPr>
      <w:r w:rsidRPr="009E3EC4">
        <w:rPr>
          <w:b/>
          <w:bCs/>
        </w:rPr>
        <w:lastRenderedPageBreak/>
        <w:t>9. References</w:t>
      </w:r>
    </w:p>
    <w:p w:rsidR="009E3EC4" w:rsidRPr="009E3EC4" w:rsidRDefault="009E3EC4" w:rsidP="00343024">
      <w:pPr>
        <w:numPr>
          <w:ilvl w:val="0"/>
          <w:numId w:val="10"/>
        </w:numPr>
        <w:spacing w:after="0"/>
      </w:pPr>
      <w:r w:rsidRPr="009E3EC4">
        <w:t>Frenkel, J. (1976)</w:t>
      </w:r>
    </w:p>
    <w:p w:rsidR="009E3EC4" w:rsidRPr="009E3EC4" w:rsidRDefault="009E3EC4" w:rsidP="00343024">
      <w:pPr>
        <w:numPr>
          <w:ilvl w:val="0"/>
          <w:numId w:val="10"/>
        </w:numPr>
        <w:spacing w:after="0"/>
      </w:pPr>
      <w:r w:rsidRPr="009E3EC4">
        <w:t>Mussa, M. (1976, 1979)</w:t>
      </w:r>
    </w:p>
    <w:p w:rsidR="009E3EC4" w:rsidRPr="009E3EC4" w:rsidRDefault="009E3EC4" w:rsidP="00343024">
      <w:pPr>
        <w:numPr>
          <w:ilvl w:val="0"/>
          <w:numId w:val="10"/>
        </w:numPr>
        <w:spacing w:after="0"/>
      </w:pPr>
      <w:r w:rsidRPr="009E3EC4">
        <w:t>Frenkel, J. &amp; Johnson, H. (1978)</w:t>
      </w:r>
    </w:p>
    <w:p w:rsidR="009E3EC4" w:rsidRPr="009E3EC4" w:rsidRDefault="009E3EC4" w:rsidP="00343024">
      <w:pPr>
        <w:numPr>
          <w:ilvl w:val="0"/>
          <w:numId w:val="10"/>
        </w:numPr>
        <w:spacing w:after="0"/>
      </w:pPr>
      <w:r w:rsidRPr="009E3EC4">
        <w:t>Meese, R. &amp; Rogoff, K. (1983)</w:t>
      </w:r>
    </w:p>
    <w:p w:rsidR="009E3EC4" w:rsidRPr="009E3EC4" w:rsidRDefault="009E3EC4" w:rsidP="00343024">
      <w:pPr>
        <w:numPr>
          <w:ilvl w:val="0"/>
          <w:numId w:val="10"/>
        </w:numPr>
        <w:spacing w:after="0"/>
      </w:pPr>
      <w:proofErr w:type="spellStart"/>
      <w:r w:rsidRPr="009E3EC4">
        <w:t>Breiman</w:t>
      </w:r>
      <w:proofErr w:type="spellEnd"/>
      <w:r w:rsidRPr="009E3EC4">
        <w:t>, L. (2001)</w:t>
      </w:r>
    </w:p>
    <w:p w:rsidR="009E3EC4" w:rsidRPr="009E3EC4" w:rsidRDefault="009E3EC4" w:rsidP="00343024">
      <w:pPr>
        <w:spacing w:after="0"/>
      </w:pPr>
      <w:r w:rsidRPr="009E3EC4">
        <w:pict>
          <v:rect id="_x0000_i1036" style="width:0;height:1.5pt" o:hralign="center" o:hrstd="t" o:hr="t" fillcolor="#a0a0a0" stroked="f"/>
        </w:pict>
      </w:r>
    </w:p>
    <w:p w:rsidR="009E3EC4" w:rsidRDefault="009E3EC4" w:rsidP="00343024">
      <w:pPr>
        <w:spacing w:after="0"/>
      </w:pPr>
    </w:p>
    <w:sectPr w:rsidR="009E3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0CBF"/>
    <w:multiLevelType w:val="multilevel"/>
    <w:tmpl w:val="3EC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34FEA"/>
    <w:multiLevelType w:val="multilevel"/>
    <w:tmpl w:val="31A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13180"/>
    <w:multiLevelType w:val="multilevel"/>
    <w:tmpl w:val="75E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40A36"/>
    <w:multiLevelType w:val="multilevel"/>
    <w:tmpl w:val="BF22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E66CC"/>
    <w:multiLevelType w:val="multilevel"/>
    <w:tmpl w:val="D398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91FE6"/>
    <w:multiLevelType w:val="multilevel"/>
    <w:tmpl w:val="F93A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D389A"/>
    <w:multiLevelType w:val="multilevel"/>
    <w:tmpl w:val="3B32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C67D7"/>
    <w:multiLevelType w:val="multilevel"/>
    <w:tmpl w:val="C4FC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F1689"/>
    <w:multiLevelType w:val="multilevel"/>
    <w:tmpl w:val="504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9494F"/>
    <w:multiLevelType w:val="multilevel"/>
    <w:tmpl w:val="37A4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375648">
    <w:abstractNumId w:val="9"/>
  </w:num>
  <w:num w:numId="2" w16cid:durableId="421880709">
    <w:abstractNumId w:val="6"/>
  </w:num>
  <w:num w:numId="3" w16cid:durableId="1636133659">
    <w:abstractNumId w:val="3"/>
  </w:num>
  <w:num w:numId="4" w16cid:durableId="59789717">
    <w:abstractNumId w:val="4"/>
  </w:num>
  <w:num w:numId="5" w16cid:durableId="35861579">
    <w:abstractNumId w:val="0"/>
  </w:num>
  <w:num w:numId="6" w16cid:durableId="292369295">
    <w:abstractNumId w:val="8"/>
  </w:num>
  <w:num w:numId="7" w16cid:durableId="997029467">
    <w:abstractNumId w:val="5"/>
  </w:num>
  <w:num w:numId="8" w16cid:durableId="1809668355">
    <w:abstractNumId w:val="7"/>
  </w:num>
  <w:num w:numId="9" w16cid:durableId="695692225">
    <w:abstractNumId w:val="1"/>
  </w:num>
  <w:num w:numId="10" w16cid:durableId="164251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EC4"/>
    <w:rsid w:val="0006009A"/>
    <w:rsid w:val="00343024"/>
    <w:rsid w:val="008D1D55"/>
    <w:rsid w:val="009E3EC4"/>
    <w:rsid w:val="00FD1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C3B7A"/>
  <w15:chartTrackingRefBased/>
  <w15:docId w15:val="{9905F3DA-0969-4E40-A550-ECC288B57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E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E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E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E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E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E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E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E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E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E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EC4"/>
    <w:rPr>
      <w:rFonts w:eastAsiaTheme="majorEastAsia" w:cstheme="majorBidi"/>
      <w:color w:val="272727" w:themeColor="text1" w:themeTint="D8"/>
    </w:rPr>
  </w:style>
  <w:style w:type="paragraph" w:styleId="Title">
    <w:name w:val="Title"/>
    <w:basedOn w:val="Normal"/>
    <w:next w:val="Normal"/>
    <w:link w:val="TitleChar"/>
    <w:uiPriority w:val="10"/>
    <w:qFormat/>
    <w:rsid w:val="009E3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EC4"/>
    <w:pPr>
      <w:spacing w:before="160"/>
      <w:jc w:val="center"/>
    </w:pPr>
    <w:rPr>
      <w:i/>
      <w:iCs/>
      <w:color w:val="404040" w:themeColor="text1" w:themeTint="BF"/>
    </w:rPr>
  </w:style>
  <w:style w:type="character" w:customStyle="1" w:styleId="QuoteChar">
    <w:name w:val="Quote Char"/>
    <w:basedOn w:val="DefaultParagraphFont"/>
    <w:link w:val="Quote"/>
    <w:uiPriority w:val="29"/>
    <w:rsid w:val="009E3EC4"/>
    <w:rPr>
      <w:i/>
      <w:iCs/>
      <w:color w:val="404040" w:themeColor="text1" w:themeTint="BF"/>
    </w:rPr>
  </w:style>
  <w:style w:type="paragraph" w:styleId="ListParagraph">
    <w:name w:val="List Paragraph"/>
    <w:basedOn w:val="Normal"/>
    <w:uiPriority w:val="34"/>
    <w:qFormat/>
    <w:rsid w:val="009E3EC4"/>
    <w:pPr>
      <w:ind w:left="720"/>
      <w:contextualSpacing/>
    </w:pPr>
  </w:style>
  <w:style w:type="character" w:styleId="IntenseEmphasis">
    <w:name w:val="Intense Emphasis"/>
    <w:basedOn w:val="DefaultParagraphFont"/>
    <w:uiPriority w:val="21"/>
    <w:qFormat/>
    <w:rsid w:val="009E3EC4"/>
    <w:rPr>
      <w:i/>
      <w:iCs/>
      <w:color w:val="2F5496" w:themeColor="accent1" w:themeShade="BF"/>
    </w:rPr>
  </w:style>
  <w:style w:type="paragraph" w:styleId="IntenseQuote">
    <w:name w:val="Intense Quote"/>
    <w:basedOn w:val="Normal"/>
    <w:next w:val="Normal"/>
    <w:link w:val="IntenseQuoteChar"/>
    <w:uiPriority w:val="30"/>
    <w:qFormat/>
    <w:rsid w:val="009E3E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EC4"/>
    <w:rPr>
      <w:i/>
      <w:iCs/>
      <w:color w:val="2F5496" w:themeColor="accent1" w:themeShade="BF"/>
    </w:rPr>
  </w:style>
  <w:style w:type="character" w:styleId="IntenseReference">
    <w:name w:val="Intense Reference"/>
    <w:basedOn w:val="DefaultParagraphFont"/>
    <w:uiPriority w:val="32"/>
    <w:qFormat/>
    <w:rsid w:val="009E3EC4"/>
    <w:rPr>
      <w:b/>
      <w:bCs/>
      <w:smallCaps/>
      <w:color w:val="2F5496" w:themeColor="accent1" w:themeShade="BF"/>
      <w:spacing w:val="5"/>
    </w:rPr>
  </w:style>
  <w:style w:type="character" w:styleId="PlaceholderText">
    <w:name w:val="Placeholder Text"/>
    <w:basedOn w:val="DefaultParagraphFont"/>
    <w:uiPriority w:val="99"/>
    <w:semiHidden/>
    <w:rsid w:val="009E3E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Siddhangana Ray</dc:creator>
  <cp:keywords/>
  <dc:description/>
  <cp:lastModifiedBy>Siddhangana Ray</cp:lastModifiedBy>
  <cp:revision>2</cp:revision>
  <dcterms:created xsi:type="dcterms:W3CDTF">2026-03-28T00:41:00Z</dcterms:created>
  <dcterms:modified xsi:type="dcterms:W3CDTF">2026-03-28T18:04:00Z</dcterms:modified>
</cp:coreProperties>
</file>