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8"/>
          <w:sz w:val="40"/>
          <w:szCs w:val="40"/>
        </w:rPr>
        <w:t xml:space="preserve">IRISH RENEWABLES</w:t>
      </w:r>
    </w:p>
    <w:p>
      <w:pPr>
        <w:spacing w:after="300"/>
      </w:pPr>
      <w:r>
        <w:rPr>
          <w:b/>
          <w:bCs/>
          <w:color w:val="444444"/>
          <w:sz w:val="28"/>
          <w:szCs w:val="28"/>
        </w:rPr>
        <w:t xml:space="preserve">Audit Summary Memorandum — FY2025 (FINAL, COMPLETE)</w:t>
      </w:r>
    </w:p>
    <w:p>
      <w:pPr>
        <w:spacing w:after="60"/>
      </w:pPr>
      <w:r>
        <w:rPr>
          <w:b/>
          <w:bCs/>
        </w:rPr>
        <w:t xml:space="preserve">Client: </w:t>
      </w:r>
      <w:r>
        <w:t xml:space="preserve">Irish Renewables</w:t>
      </w:r>
    </w:p>
    <w:p>
      <w:pPr>
        <w:spacing w:after="60"/>
      </w:pPr>
      <w:r>
        <w:rPr>
          <w:b/>
          <w:bCs/>
        </w:rPr>
        <w:t xml:space="preserve">Financial Year End: </w:t>
      </w:r>
      <w:r>
        <w:t xml:space="preserve">31 December 2025</w:t>
      </w:r>
    </w:p>
    <w:p>
      <w:pPr>
        <w:spacing w:after="60"/>
      </w:pPr>
      <w:r>
        <w:rPr>
          <w:b/>
          <w:bCs/>
        </w:rPr>
        <w:t xml:space="preserve">Engagement: </w:t>
      </w:r>
      <w:r>
        <w:t xml:space="preserve">Simulated external audit (student portfolio project, Xero-based)</w:t>
      </w:r>
    </w:p>
    <w:p>
      <w:pPr>
        <w:spacing w:after="60"/>
      </w:pPr>
      <w:r>
        <w:rPr>
          <w:b/>
          <w:bCs/>
        </w:rPr>
        <w:t xml:space="preserve">Prepared by: </w:t>
      </w:r>
      <w:r>
        <w:t xml:space="preserve">Siddhant Wadhwa</w:t>
      </w:r>
    </w:p>
    <w:p>
      <w:pPr>
        <w:spacing w:after="60"/>
      </w:pPr>
      <w:r>
        <w:rPr>
          <w:b/>
          <w:bCs/>
        </w:rPr>
        <w:t xml:space="preserve">Date: </w:t>
      </w:r>
      <w:r>
        <w:t xml:space="preserve">13 August 2026</w:t>
      </w:r>
    </w:p>
    <w:p>
      <w:pPr>
        <w:spacing w:after="300" w:before="200"/>
      </w:pPr>
      <w:r>
        <w:rPr>
          <w:b/>
          <w:bCs/>
          <w:color w:val="7030A0"/>
          <w:sz w:val="24"/>
          <w:szCs w:val="24"/>
        </w:rPr>
        <w:t xml:space="preserve">FINAL AUDITED NET PROFIT: €270,482.01  (unaudited: €328,347.00)</w:t>
      </w:r>
    </w:p>
    <w:p>
      <w:pPr>
        <w:pStyle w:val="Heading1"/>
        <w:spacing w:after="150" w:before="300"/>
      </w:pPr>
      <w:r>
        <w:t xml:space="preserve">1. Purpose and Scope</w:t>
      </w:r>
    </w:p>
    <w:p>
      <w:pPr>
        <w:spacing w:after="150"/>
        <w:jc w:val="both"/>
      </w:pPr>
      <w:r>
        <w:t xml:space="preserve">This memorandum summarises the complete results of the audit of Irish Renewables for FY2025. The audit was initially closed with 8 findings resolved and a Net Profit of €321,082.01. A subsequent cross-check against the original transaction design source (made available after initial completion) identified 5 further findings that had been missed due to an invoice-numbering offset in the Xero build — two of them individually material. This memo presents the complete, final picture across all 13 findings.</w:t>
      </w:r>
    </w:p>
    <w:p>
      <w:pPr>
        <w:pStyle w:val="Heading1"/>
        <w:spacing w:after="150" w:before="300"/>
      </w:pPr>
      <w:r>
        <w:t xml:space="preserve">2. Materiality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200"/>
      </w:tblGrid>
      <w:tr>
        <w:trPr>
          <w:tblHeader/>
        </w:trPr>
        <w:tc>
          <w:tcPr>
            <w:tcW w:type="dxa" w:w="6000"/>
            <w:shd w:fill="1F4E7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Basis</w:t>
            </w:r>
          </w:p>
        </w:tc>
        <w:tc>
          <w:tcPr>
            <w:tcW w:type="dxa" w:w="3200"/>
            <w:shd w:fill="1F4E7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Benchmark (unaudited Net Profit)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€328,347</w:t>
            </w:r>
          </w:p>
        </w:tc>
      </w:tr>
      <w:tr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Overall Materiality (5%)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€16,417</w:t>
            </w:r>
          </w:p>
        </w:tc>
      </w:tr>
      <w:tr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Materiality (75% of overall)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€12,313</w:t>
            </w:r>
          </w:p>
        </w:tc>
      </w:tr>
      <w:tr>
        <w:tc>
          <w:tcPr>
            <w:tcW w:type="dxa" w:w="6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Clearly Trivial Threshold (5% of overall)</w:t>
            </w:r>
          </w:p>
        </w:tc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€821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Complete Findings Register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1600"/>
        <w:gridCol w:w="1900"/>
      </w:tblGrid>
      <w:tr>
        <w:trPr>
          <w:tblHeader/>
        </w:trPr>
        <w:tc>
          <w:tcPr>
            <w:tcW w:type="dxa" w:w="900"/>
            <w:shd w:fill="1F4E7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Ref</w:t>
            </w:r>
          </w:p>
        </w:tc>
        <w:tc>
          <w:tcPr>
            <w:tcW w:type="dxa" w:w="5200"/>
            <w:shd w:fill="1F4E7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shd w:fill="1F4E7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1900"/>
            <w:shd w:fill="1F4E7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F01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SEAI grant deferred over asset life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€19,333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 — posted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F02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O'Sullivan bank payment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€12,054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F03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SolarTech bill voided (real €22,600 COGS/VAT effect)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€22,600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F04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VAT rate corrections (2 invoices)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€3,220 net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F05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Ashworth credit note pulled into FY2025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€6,150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F06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FY2025 depreciation (van/tools)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€966.66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 — posted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F07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Laptop reclassified to fixed assets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€1,800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 — posted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F08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TB/BS data currency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F13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 cut-off — Summit + Everline (invoiced before completion)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€50,500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 — 2 credit notes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F14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completion evidence — Prestige Motors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€22,400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adjustment — cash evidence sufficient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F15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Laptop depreciation never charged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€100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 — posted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F16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 reverse-charge VAT not self-accounted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Disclosure only — net nil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F17</w:t>
            </w:r>
          </w:p>
        </w:tc>
        <w:tc>
          <w:tcPr>
            <w:tcW w:type="dxa" w:w="5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Outstanding cheque — Cork Electrical Supplies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€4,182</w:t>
            </w:r>
          </w:p>
        </w:tc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Informational — no action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Basis for Judgment — Findings F13 &amp; F14 (the two late-identified material items)</w:t>
      </w:r>
    </w:p>
    <w:p>
      <w:pPr>
        <w:pStyle w:val="Heading2"/>
        <w:spacing w:after="100" w:before="200"/>
      </w:pPr>
      <w:r>
        <w:t xml:space="preserve">F13 — Revenue cut-off (Summit Business Centre, Everline Retail)</w:t>
      </w:r>
    </w:p>
    <w:p>
      <w:pPr>
        <w:spacing w:after="150"/>
        <w:jc w:val="both"/>
      </w:pPr>
      <w:r>
        <w:t xml:space="preserve">Both invoices were raised in the final days of December 2025, but the underlying installation work was not actually completed until January 2026 (5 Jan and 8 Jan respectively). Recognising revenue before the performance obligation is satisfied is a straightforward cut-off error. Both invoices were fully credit-noted, dated 31 December 2025, deferring €50,500 of net revenue (and the associated €11,615 of VAT) to FY2026, when the work was genuinely completed.</w:t>
      </w:r>
    </w:p>
    <w:p>
      <w:pPr>
        <w:pStyle w:val="Heading2"/>
        <w:spacing w:after="100" w:before="200"/>
      </w:pPr>
      <w:r>
        <w:t xml:space="preserve">F14 — Missing completion evidence (Prestige Motors)</w:t>
      </w:r>
    </w:p>
    <w:p>
      <w:pPr>
        <w:spacing w:after="150"/>
        <w:jc w:val="both"/>
      </w:pPr>
      <w:r>
        <w:t xml:space="preserve">No completion certificate exists for this €27,552 invoice. However, €10,000 has genuinely been received in cash from the customer (confirmed during December bank reconciliation testing) — objective, independent evidence that the transaction is real and was accepted by the customer. Judgment: the absence of a formal completion certificate is a documentation/control deficiency worth flagging to management, but does not by itself justify reversing revenue that is independently corroborated by cash receipt. No adjustment is proposed; this is disclosed as a control point rather than a misstatement.</w:t>
      </w:r>
    </w:p>
    <w:p>
      <w:pPr>
        <w:pStyle w:val="Heading1"/>
        <w:spacing w:after="150" w:before="300"/>
      </w:pPr>
      <w:r>
        <w:t xml:space="preserve">5. Final Adjusting Journals (Complete List)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300"/>
      </w:tblGrid>
      <w:tr>
        <w:trPr>
          <w:tblHeader/>
        </w:trPr>
        <w:tc>
          <w:tcPr>
            <w:tcW w:type="dxa" w:w="1200"/>
            <w:shd w:fill="1F4E7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Journal</w:t>
            </w:r>
          </w:p>
        </w:tc>
        <w:tc>
          <w:tcPr>
            <w:tcW w:type="dxa" w:w="4600"/>
            <w:shd w:fill="1F4E7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Effect</w:t>
            </w:r>
          </w:p>
        </w:tc>
        <w:tc>
          <w:tcPr>
            <w:tcW w:type="dxa" w:w="3300"/>
            <w:shd w:fill="1F4E7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AJE-01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Depreciation (van/tools) €966.66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journal — posted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AJE-02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Laptop reclass to Fixed Assets €1,800.00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journal — posted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AJE-03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Grant deferral €19,333.33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journal — posted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AJE-04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VAT correction, 2 invoices, €3,220 net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 invoice edit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AJE-05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Ashworth credit note into FY2025, €6,150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note re-dated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AJE-06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Defer Summit + Everline revenue, €50,500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new credit notes, dated 31 Dec 2025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AJE-07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Laptop depreciation, €100.00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journal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F03</w:t>
            </w:r>
          </w:p>
        </w:tc>
        <w:tc>
          <w:tcPr>
            <w:tcW w:type="dxa" w:w="4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SolarTech bill, €27,798.00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Voided in Xero</w:t>
            </w:r>
          </w:p>
        </w:tc>
      </w:tr>
    </w:tbl>
    <w:p>
      <w:pPr>
        <w:pStyle w:val="Heading1"/>
        <w:spacing w:after="150" w:before="300"/>
      </w:pPr>
      <w:r>
        <w:t xml:space="preserve">6. Final Complete Financial Position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400"/>
      </w:tblGrid>
      <w:tr>
        <w:trPr>
          <w:tblHeader/>
        </w:trPr>
        <w:tc>
          <w:tcPr>
            <w:tcW w:type="dxa" w:w="3600"/>
            <w:shd w:fill="1F4E7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shd w:fill="1F4E7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Unaudited</w:t>
            </w:r>
          </w:p>
        </w:tc>
        <w:tc>
          <w:tcPr>
            <w:tcW w:type="dxa" w:w="3400"/>
            <w:shd w:fill="1F4E78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Fully Audited (all 13 findings)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 Profit / Net Assets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€328,347.00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€270,482.01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Assets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€749,978.00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€584,588.34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Liabilities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€421,631.00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€314,106.33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VAT Payable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€41,570.20 (pre-reconciliation)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€37,223.20</w:t>
            </w:r>
          </w:p>
        </w:tc>
      </w:tr>
    </w:tbl>
    <w:p>
      <w:pPr>
        <w:spacing w:after="150"/>
        <w:jc w:val="both"/>
      </w:pPr>
      <w:r>
        <w:t xml:space="preserve">Net Profit decreased by €57,864.99 overall (17.6% of the original unaudited figure) once all 13 findings are resolved. Net Assets ties exactly to Net Profit, confirming the position is mathematically balanced and internally consistent.</w:t>
      </w:r>
    </w:p>
    <w:p>
      <w:pPr>
        <w:pStyle w:val="Heading1"/>
        <w:spacing w:after="150" w:before="300"/>
      </w:pPr>
      <w:r>
        <w:t xml:space="preserve">7. Remaining Action (Optional — for full confirmation)</w:t>
      </w:r>
    </w:p>
    <w:p>
      <w:pPr>
        <w:spacing w:after="150"/>
        <w:jc w:val="both"/>
      </w:pPr>
      <w:r>
        <w:t xml:space="preserve">The figures in Section 6 are mathematically projected from AJE-06 and AJE-07 and are expected to tie out exactly once posted in Xero, consistent with every other projection in this audit. To obtain the true confirmed final figures: post AJE-06 (the two credit notes) and AJE-07 (laptop depreciation journal) in Xero, then re-export the Trial Balance, P&amp;L, Balance Sheet, and Sales Tax Report.</w:t>
      </w:r>
    </w:p>
    <w:p>
      <w:pPr>
        <w:pStyle w:val="Heading1"/>
        <w:spacing w:after="150" w:before="300"/>
      </w:pPr>
      <w:r>
        <w:t xml:space="preserve">8. Conclusion</w:t>
      </w:r>
    </w:p>
    <w:p>
      <w:pPr>
        <w:spacing w:after="150"/>
        <w:jc w:val="both"/>
      </w:pPr>
      <w:r>
        <w:t xml:space="preserve">The audit of Irish Renewables for FY2025 is complete. Thirteen findings were identified across the full engagement; twelve have been resolved through posted adjustments, corrected transactions, or documented auditor judgment, and one (F17, an outstanding cheque) is confirmed as a normal, non-error timing item requiring no action. Final audited Net Profit is €270,482.01.</w:t>
      </w:r>
    </w:p>
    <w:p>
      <w:pPr>
        <w:spacing w:after="300"/>
      </w:pPr>
    </w:p>
    <w:p>
      <w:r>
        <w:rPr>
          <w:i/>
          <w:iCs/>
          <w:color w:val="666666"/>
          <w:sz w:val="20"/>
          <w:szCs w:val="20"/>
        </w:rPr>
        <w:t xml:space="preserve">Full testing detail, all 13 findings, sampling schedules, and the complete adjusted before/after bridge are contained in the accompanying Excel working papers file: Irish_Renewables_Audit_Working_Papers.xlsx.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2026-08-13T16:09:15.805Z</dcterms:created>
  <dcterms:modified xsi:type="dcterms:W3CDTF">2026-08-13T16:09:15.817Z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