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141413"/>
          <w:sz w:val="30"/>
          <w:szCs w:val="30"/>
        </w:rPr>
      </w:pPr>
      <w:r w:rsidDel="00000000" w:rsidR="00000000" w:rsidRPr="00000000">
        <w:rPr>
          <w:rtl w:val="0"/>
        </w:rPr>
        <w:t xml:space="preserve">Hello world</w:t>
        <w:br w:type="textWrapping"/>
      </w:r>
      <w:r w:rsidDel="00000000" w:rsidR="00000000" w:rsidRPr="00000000">
        <w:rPr>
          <w:rFonts w:ascii="Times New Roman" w:cs="Times New Roman" w:eastAsia="Times New Roman" w:hAnsi="Times New Roman"/>
          <w:color w:val="141413"/>
          <w:sz w:val="30"/>
          <w:szCs w:val="30"/>
          <w:rtl w:val="0"/>
        </w:rPr>
        <w:t xml:space="preserve">Skills are folders of instructions, scripts, and resources that Claude loads dynamically to improve performance on specialized tasks. Think of them as expertise packages—they teach Claude how to complete specific tasks in a repeatable way.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af9f5" w:val="clear"/>
        <w:spacing w:after="240" w:line="372" w:lineRule="auto"/>
        <w:rPr>
          <w:rFonts w:ascii="Times New Roman" w:cs="Times New Roman" w:eastAsia="Times New Roman" w:hAnsi="Times New Roman"/>
          <w:color w:val="141413"/>
          <w:sz w:val="30"/>
          <w:szCs w:val="30"/>
        </w:rPr>
      </w:pPr>
      <w:r w:rsidDel="00000000" w:rsidR="00000000" w:rsidRPr="00000000">
        <w:rPr>
          <w:rFonts w:ascii="Times New Roman" w:cs="Times New Roman" w:eastAsia="Times New Roman" w:hAnsi="Times New Roman"/>
          <w:color w:val="141413"/>
          <w:sz w:val="30"/>
          <w:szCs w:val="30"/>
          <w:rtl w:val="0"/>
        </w:rPr>
        <w:t xml:space="preserve">You've already seen Skills at work if you've used Claude to create Excel spreadsheets, PowerPoint presentations, Word documents, or PDFs. Those file creation capabilities are powered by Skills running behind the scenes. But Skills go far beyond document creation. Custom Skills can codify entire repeatable workflows — a quarterly variance analysis methodology, a brand voice review process, or a compliance checklist — so Claude follows the same rigorous steps every time.</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