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3D1A6E"/>
          <w:sz w:val="36"/>
        </w:rPr>
        <w:t>Project Synopsis — Submission Template</w:t>
      </w:r>
    </w:p>
    <w:p>
      <w:pPr>
        <w:jc w:val="center"/>
      </w:pPr>
      <w:r>
        <w:rPr>
          <w:rFonts w:ascii="Arial" w:hAnsi="Arial"/>
          <w:i/>
          <w:color w:val="7030A0"/>
          <w:sz w:val="20"/>
        </w:rPr>
        <w:t>HCLTech Career Shaper Programme | III Year Industry Project | 2025-26</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3D1A6E"/>
          </w:tcPr>
          <w:p>
            <w:r>
              <w:rPr>
                <w:rFonts w:ascii="Arial" w:hAnsi="Arial"/>
                <w:b/>
                <w:color w:val="FFFFFF"/>
                <w:sz w:val="20"/>
              </w:rPr>
              <w:t>Field</w:t>
            </w:r>
          </w:p>
        </w:tc>
        <w:tc>
          <w:tcPr>
            <w:tcW w:type="dxa" w:w="6480"/>
            <w:shd w:val="clear" w:color="auto" w:fill="3D1A6E"/>
          </w:tcPr>
          <w:p>
            <w:r>
              <w:rPr>
                <w:rFonts w:ascii="Arial" w:hAnsi="Arial"/>
                <w:b/>
                <w:color w:val="FFFFFF"/>
                <w:sz w:val="20"/>
              </w:rPr>
              <w:t>Details (Learner to complete)</w:t>
            </w:r>
          </w:p>
        </w:tc>
      </w:tr>
      <w:tr>
        <w:tc>
          <w:tcPr>
            <w:tcW w:type="dxa" w:w="3168"/>
            <w:shd w:val="clear" w:color="auto" w:fill="D9C3F0"/>
          </w:tcPr>
          <w:p>
            <w:r>
              <w:rPr>
                <w:rFonts w:ascii="Arial" w:hAnsi="Arial"/>
                <w:b/>
                <w:sz w:val="18"/>
              </w:rPr>
              <w:t>Project Title</w:t>
            </w:r>
          </w:p>
        </w:tc>
        <w:tc>
          <w:tcPr>
            <w:tcW w:type="dxa" w:w="6480"/>
            <w:shd w:val="clear" w:color="auto" w:fill="FFFFFF"/>
          </w:tcPr>
          <w:p>
            <w:r>
              <w:rPr>
                <w:rFonts w:ascii="Arial" w:hAnsi="Arial"/>
                <w:sz w:val="18"/>
              </w:rPr>
              <w:t>AI-Powered Chatbot for University Student Support</w:t>
            </w:r>
          </w:p>
        </w:tc>
      </w:tr>
      <w:tr>
        <w:tc>
          <w:tcPr>
            <w:tcW w:type="dxa" w:w="3168"/>
            <w:shd w:val="clear" w:color="auto" w:fill="D9C3F0"/>
          </w:tcPr>
          <w:p>
            <w:r>
              <w:rPr>
                <w:rFonts w:ascii="Arial" w:hAnsi="Arial"/>
                <w:b/>
                <w:sz w:val="18"/>
              </w:rPr>
              <w:t>Project No.</w:t>
            </w:r>
          </w:p>
        </w:tc>
        <w:tc>
          <w:tcPr>
            <w:tcW w:type="dxa" w:w="6480"/>
            <w:shd w:val="clear" w:color="auto" w:fill="FFFFFF"/>
          </w:tcPr>
          <w:p>
            <w:r>
              <w:rPr>
                <w:rFonts w:ascii="Arial" w:hAnsi="Arial"/>
                <w:sz w:val="18"/>
              </w:rPr>
              <w:t>30</w:t>
            </w:r>
          </w:p>
        </w:tc>
      </w:tr>
      <w:tr>
        <w:tc>
          <w:tcPr>
            <w:tcW w:type="dxa" w:w="3168"/>
            <w:shd w:val="clear" w:color="auto" w:fill="D9C3F0"/>
          </w:tcPr>
          <w:p>
            <w:r>
              <w:rPr>
                <w:rFonts w:ascii="Arial" w:hAnsi="Arial"/>
                <w:b/>
                <w:sz w:val="18"/>
              </w:rPr>
              <w:t>Domain</w:t>
            </w:r>
          </w:p>
        </w:tc>
        <w:tc>
          <w:tcPr>
            <w:tcW w:type="dxa" w:w="6480"/>
            <w:shd w:val="clear" w:color="auto" w:fill="FFFFFF"/>
          </w:tcPr>
          <w:p>
            <w:r>
              <w:rPr>
                <w:rFonts w:ascii="Arial" w:hAnsi="Arial"/>
                <w:sz w:val="18"/>
              </w:rPr>
              <w:t>Digital-Data-AI / AIML</w:t>
            </w:r>
          </w:p>
        </w:tc>
      </w:tr>
      <w:tr>
        <w:tc>
          <w:tcPr>
            <w:tcW w:type="dxa" w:w="3168"/>
            <w:shd w:val="clear" w:color="auto" w:fill="D9C3F0"/>
          </w:tcPr>
          <w:p>
            <w:r>
              <w:rPr>
                <w:rFonts w:ascii="Arial" w:hAnsi="Arial"/>
                <w:b/>
                <w:sz w:val="18"/>
              </w:rPr>
              <w:t>Difficulty</w:t>
            </w:r>
          </w:p>
        </w:tc>
        <w:tc>
          <w:tcPr>
            <w:tcW w:type="dxa" w:w="6480"/>
            <w:shd w:val="clear" w:color="auto" w:fill="FFFFFF"/>
          </w:tcPr>
          <w:p>
            <w:r>
              <w:rPr>
                <w:rFonts w:ascii="Arial" w:hAnsi="Arial"/>
                <w:sz w:val="18"/>
              </w:rPr>
              <w:t>Intermediate</w:t>
            </w:r>
          </w:p>
        </w:tc>
      </w:tr>
      <w:tr>
        <w:tc>
          <w:tcPr>
            <w:tcW w:type="dxa" w:w="3168"/>
            <w:shd w:val="clear" w:color="auto" w:fill="D9C3F0"/>
          </w:tcPr>
          <w:p>
            <w:r>
              <w:rPr>
                <w:rFonts w:ascii="Arial" w:hAnsi="Arial"/>
                <w:b/>
                <w:sz w:val="18"/>
              </w:rPr>
              <w:t>Duration</w:t>
            </w:r>
          </w:p>
        </w:tc>
        <w:tc>
          <w:tcPr>
            <w:tcW w:type="dxa" w:w="6480"/>
            <w:shd w:val="clear" w:color="auto" w:fill="FFFFFF"/>
          </w:tcPr>
          <w:p>
            <w:r>
              <w:rPr>
                <w:rFonts w:ascii="Arial" w:hAnsi="Arial"/>
                <w:sz w:val="18"/>
              </w:rPr>
              <w:t>4 Weeks</w:t>
            </w:r>
          </w:p>
        </w:tc>
      </w:tr>
      <w:tr>
        <w:tc>
          <w:tcPr>
            <w:tcW w:type="dxa" w:w="3168"/>
            <w:shd w:val="clear" w:color="auto" w:fill="D9C3F0"/>
          </w:tcPr>
          <w:p>
            <w:r>
              <w:rPr>
                <w:rFonts w:ascii="Arial" w:hAnsi="Arial"/>
                <w:b/>
                <w:sz w:val="18"/>
              </w:rPr>
              <w:t>Format</w:t>
            </w:r>
          </w:p>
        </w:tc>
        <w:tc>
          <w:tcPr>
            <w:tcW w:type="dxa" w:w="6480"/>
            <w:shd w:val="clear" w:color="auto" w:fill="FFFFFF"/>
          </w:tcPr>
          <w:p>
            <w:r>
              <w:rPr>
                <w:rFonts w:ascii="Arial" w:hAnsi="Arial"/>
                <w:sz w:val="18"/>
              </w:rPr>
              <w:t>Individual Project</w:t>
            </w:r>
          </w:p>
        </w:tc>
      </w:tr>
      <w:tr>
        <w:tc>
          <w:tcPr>
            <w:tcW w:type="dxa" w:w="3168"/>
            <w:shd w:val="clear" w:color="auto" w:fill="D9C3F0"/>
          </w:tcPr>
          <w:p>
            <w:r>
              <w:rPr>
                <w:rFonts w:ascii="Arial" w:hAnsi="Arial"/>
                <w:b/>
                <w:sz w:val="18"/>
              </w:rPr>
              <w:t>Learner Name</w:t>
            </w:r>
          </w:p>
        </w:tc>
        <w:tc>
          <w:tcPr>
            <w:tcW w:type="dxa" w:w="6480"/>
            <w:shd w:val="clear" w:color="auto" w:fill="FFFFFF"/>
          </w:tcPr>
          <w:p>
            <w:r>
              <w:rPr>
                <w:rFonts w:ascii="Calibri" w:hAnsi="Calibri"/>
                <w:b/>
                <w:color w:val="0F172A"/>
                <w:sz w:val="21"/>
              </w:rPr>
              <w:t>Prashant Kumar (Student, III Year B.Tech CSE)</w:t>
            </w:r>
          </w:p>
        </w:tc>
      </w:tr>
      <w:tr>
        <w:tc>
          <w:tcPr>
            <w:tcW w:type="dxa" w:w="3168"/>
            <w:shd w:val="clear" w:color="auto" w:fill="D9C3F0"/>
          </w:tcPr>
          <w:p>
            <w:r>
              <w:rPr>
                <w:rFonts w:ascii="Arial" w:hAnsi="Arial"/>
                <w:b/>
                <w:sz w:val="18"/>
              </w:rPr>
              <w:t>Roll Number</w:t>
            </w:r>
          </w:p>
        </w:tc>
        <w:tc>
          <w:tcPr>
            <w:tcW w:type="dxa" w:w="6480"/>
            <w:shd w:val="clear" w:color="auto" w:fill="FFFFFF"/>
          </w:tcPr>
          <w:p>
            <w:r>
              <w:rPr>
                <w:rFonts w:ascii="Calibri" w:hAnsi="Calibri"/>
                <w:b/>
                <w:color w:val="0F172A"/>
                <w:sz w:val="21"/>
              </w:rPr>
              <w:t>2200320100000 / III Year CSE</w:t>
            </w:r>
          </w:p>
        </w:tc>
      </w:tr>
      <w:tr>
        <w:tc>
          <w:tcPr>
            <w:tcW w:type="dxa" w:w="3168"/>
            <w:shd w:val="clear" w:color="auto" w:fill="D9C3F0"/>
          </w:tcPr>
          <w:p>
            <w:r>
              <w:rPr>
                <w:rFonts w:ascii="Arial" w:hAnsi="Arial"/>
                <w:b/>
                <w:sz w:val="18"/>
              </w:rPr>
              <w:t>College / Campus</w:t>
            </w:r>
          </w:p>
        </w:tc>
        <w:tc>
          <w:tcPr>
            <w:tcW w:type="dxa" w:w="6480"/>
            <w:shd w:val="clear" w:color="auto" w:fill="FFFFFF"/>
          </w:tcPr>
          <w:p>
            <w:r>
              <w:rPr>
                <w:rFonts w:ascii="Calibri" w:hAnsi="Calibri"/>
                <w:b/>
                <w:color w:val="0F172A"/>
                <w:sz w:val="21"/>
              </w:rPr>
              <w:t>ABES Engineering College, Ghaziabad (AKTU College Code: 032)</w:t>
            </w:r>
          </w:p>
        </w:tc>
      </w:tr>
      <w:tr>
        <w:tc>
          <w:tcPr>
            <w:tcW w:type="dxa" w:w="3168"/>
            <w:shd w:val="clear" w:color="auto" w:fill="D9C3F0"/>
          </w:tcPr>
          <w:p>
            <w:r>
              <w:rPr>
                <w:rFonts w:ascii="Arial" w:hAnsi="Arial"/>
                <w:b/>
                <w:sz w:val="18"/>
              </w:rPr>
              <w:t>Mentor Name</w:t>
            </w:r>
          </w:p>
        </w:tc>
        <w:tc>
          <w:tcPr>
            <w:tcW w:type="dxa" w:w="6480"/>
            <w:shd w:val="clear" w:color="auto" w:fill="FFFFFF"/>
          </w:tcPr>
          <w:p>
            <w:r>
              <w:rPr>
                <w:rFonts w:ascii="Calibri" w:hAnsi="Calibri"/>
                <w:b/>
                <w:color w:val="0F172A"/>
                <w:sz w:val="21"/>
              </w:rPr>
              <w:t>Industry Mentor: HCLTech Career Shaper Lead | Faculty Mentor: Dept. of CSE, ABES-EC</w:t>
            </w:r>
          </w:p>
        </w:tc>
      </w:tr>
      <w:tr>
        <w:tc>
          <w:tcPr>
            <w:tcW w:type="dxa" w:w="3168"/>
            <w:shd w:val="clear" w:color="auto" w:fill="D9C3F0"/>
          </w:tcPr>
          <w:p>
            <w:r>
              <w:rPr>
                <w:rFonts w:ascii="Arial" w:hAnsi="Arial"/>
                <w:b/>
                <w:sz w:val="18"/>
              </w:rPr>
              <w:t>Submission Date</w:t>
            </w:r>
          </w:p>
        </w:tc>
        <w:tc>
          <w:tcPr>
            <w:tcW w:type="dxa" w:w="6480"/>
            <w:shd w:val="clear" w:color="auto" w:fill="FFFFFF"/>
          </w:tcPr>
          <w:p>
            <w:r>
              <w:rPr>
                <w:rFonts w:ascii="Calibri" w:hAnsi="Calibri"/>
                <w:b/>
                <w:color w:val="0F172A"/>
                <w:sz w:val="21"/>
              </w:rPr>
              <w:t>November 1, 2026</w:t>
            </w:r>
          </w:p>
        </w:tc>
      </w:tr>
    </w:tbl>
    <w:p/>
    <w:p>
      <w:pPr>
        <w:pStyle w:val="Heading2"/>
      </w:pPr>
      <w:r>
        <w:rPr>
          <w:rFonts w:ascii="Arial" w:hAnsi="Arial"/>
          <w:b/>
          <w:color w:val="7030A0"/>
          <w:sz w:val="26"/>
        </w:rPr>
        <w:t>1. Problem Statement</w:t>
      </w:r>
    </w:p>
    <w:p>
      <w:pPr>
        <w:spacing w:after="120" w:line="276" w:lineRule="auto"/>
      </w:pPr>
      <w:r/>
      <w:r>
        <w:rPr>
          <w:rFonts w:ascii="Calibri" w:hAnsi="Calibri"/>
          <w:color w:val="334155"/>
          <w:sz w:val="21"/>
        </w:rPr>
        <w:t>At ABES Engineering College (AKTU Code: 032), over 5,000 undergraduate and postgraduate students, prospective applicants, and parents frequently encounter acute friction accessing timely administrative information. Administrative desks for admissions, semester fee structures, AKTU examination timetables, hostel room allotments, and scholarship schemes operate strictly during standard office hours (9:00 AM – 4:30 PM), generating long physical queues, unanswered telephone queries, and peak-season informational delays. This project directly addresses this institutional challenge by designing, developing, and deploying an AI-powered, bilingual (English &amp; Hindi) Student Support Help Desk conversational agent. Leveraging Natural Language Processing (NLP) with Scikit-Learn TF-IDF vectorization, custom Devanagari Unicode tokenization, and dynamic Indian Standard Time (IST) greetings, the system provides 24/7 instant deterministic guidance, voice accessibility, and automated administrative escalation for complex queries.</w:t>
      </w:r>
    </w:p>
    <w:p>
      <w:pPr>
        <w:pStyle w:val="Heading2"/>
      </w:pPr>
      <w:r>
        <w:rPr>
          <w:rFonts w:ascii="Arial" w:hAnsi="Arial"/>
          <w:b/>
          <w:color w:val="7030A0"/>
          <w:sz w:val="26"/>
        </w:rPr>
        <w:t>2. Proposed Solution &amp; Approach</w:t>
      </w:r>
    </w:p>
    <w:p>
      <w:pPr>
        <w:spacing w:after="120" w:line="276" w:lineRule="auto"/>
      </w:pPr>
      <w:r/>
      <w:r>
        <w:rPr>
          <w:rFonts w:ascii="Calibri" w:hAnsi="Calibri"/>
          <w:color w:val="334155"/>
          <w:sz w:val="21"/>
        </w:rPr>
        <w:t>We engineered a full-stack, production-grade bilingual conversational Help Desk specifically tailored to ABES Engineering College. The system is built on a decoupled architecture comprising a high-throughput Python FastAPI backend and a responsive React 18 / TailwindCSS frontend. The core Natural Language Understanding engine employs a Scikit-Learn TF-IDF vectorizer coupled with cosine similarity retrieval across a curated database of 240 institutional FAQs (with 1,303 training variations across 21 administrative categories). Crucially, the vectorizer incorporates a custom Unicode regular expression pattern (token_pattern=r"(?u)\b[\w\u0900-\u097f]{2,}\b") to flawlessly preserve Devanagari Hindi matras and ligatures. The solution integrates dynamic Indian Standard Time (Asia/Kolkata) contextual greetings, hands-free voice speech recognition (Web Speech API), interactive domain category drill-downs, and a deterministic confidence threshold routing mechanism that autonomously resolves standard inquiries while escalating grievances to college authorities.</w:t>
      </w:r>
    </w:p>
    <w:p>
      <w:pPr>
        <w:pStyle w:val="Heading2"/>
      </w:pPr>
      <w:r>
        <w:rPr>
          <w:rFonts w:ascii="Arial" w:hAnsi="Arial"/>
          <w:b/>
          <w:color w:val="7030A0"/>
          <w:sz w:val="26"/>
        </w:rPr>
        <w:t>3. System Architecture</w:t>
      </w:r>
    </w:p>
    <w:p>
      <w:pPr>
        <w:spacing w:after="160"/>
      </w:pPr>
      <w:r/>
      <w:r>
        <w:rPr>
          <w:rFonts w:ascii="Calibri" w:hAnsi="Calibri"/>
          <w:sz w:val="21"/>
        </w:rPr>
        <w:t>The system follows a three-tier decoupled client-server architecture with an integrated NLP pipeline and administrative escalation layer. Below is the complete Level 0 Data Flow Diagram (DFD) and System Architecture:</w:t>
        <w:br/>
      </w:r>
      <w:r>
        <w:b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486400" cy="3269673"/>
                    </a:xfrm>
                    <a:prstGeom prst="rect"/>
                  </pic:spPr>
                </pic:pic>
              </a:graphicData>
            </a:graphic>
          </wp:inline>
        </w:drawing>
      </w:r>
    </w:p>
    <w:p>
      <w:pPr>
        <w:pStyle w:val="Heading2"/>
      </w:pPr>
      <w:r>
        <w:rPr>
          <w:rFonts w:ascii="Arial" w:hAnsi="Arial"/>
          <w:b/>
          <w:color w:val="7030A0"/>
          <w:sz w:val="26"/>
        </w:rPr>
        <w:t>4. Technology Stack</w:t>
      </w:r>
    </w:p>
    <w:p>
      <w:pPr>
        <w:spacing w:after="120" w:line="276" w:lineRule="auto"/>
      </w:pPr>
      <w:r/>
      <w:r>
        <w:rPr>
          <w:rFonts w:ascii="Calibri" w:hAnsi="Calibri"/>
          <w:color w:val="334155"/>
          <w:sz w:val="21"/>
        </w:rPr>
        <w:t>• Frontend / UI: React 18, Vite build tool, TailwindCSS, Lucide-React icons, Web Speech API (Voice STT / TTS)</w:t>
        <w:br/>
        <w:t>• Backend / Logic: Python 3.11, FastAPI (ASGI framework), Uvicorn high-concurrency server, Pydantic data schemas</w:t>
        <w:br/>
        <w:t>• Database: SQLite with SQLAlchemy ORM (persistent chat sessions, user rating telemetry, audit logs)</w:t>
        <w:br/>
        <w:t>• AI/ML Framework: Scikit-Learn 1.5 (TfidfVectorizer, Cosine Similarity, Devanagari regex), NLTK, Google Gemini 2.5 Flash API (fallback conversational reasoning)</w:t>
        <w:br/>
        <w:t>• Visualisation: Matplotlib 3.11, Seaborn, SVG vector charts, HTML5 / CSS3 responsive analytics dashboard</w:t>
        <w:br/>
        <w:t>• Hardware: Standard commodity x86-64 server / workstation CPU (CPU-optimized inference, sub-45ms latency, zero GPU dependency)</w:t>
      </w:r>
    </w:p>
    <w:p>
      <w:pPr>
        <w:pStyle w:val="Heading2"/>
      </w:pPr>
      <w:r>
        <w:rPr>
          <w:rFonts w:ascii="Arial" w:hAnsi="Arial"/>
          <w:b/>
          <w:color w:val="7030A0"/>
          <w:sz w:val="26"/>
        </w:rPr>
        <w:t>5. Dataset Used</w:t>
      </w:r>
    </w:p>
    <w:p>
      <w:pPr>
        <w:spacing w:after="120" w:line="276" w:lineRule="auto"/>
      </w:pPr>
      <w:r/>
      <w:r>
        <w:rPr>
          <w:rFonts w:ascii="Calibri" w:hAnsi="Calibri"/>
          <w:color w:val="334155"/>
          <w:sz w:val="21"/>
        </w:rPr>
        <w:t>• Dataset file name: dataset.csv (500 interaction sessions) &amp; data_dictionary.csv</w:t>
        <w:br/>
        <w:t>• Number of rows: 500 validated session telemetry records</w:t>
        <w:br/>
        <w:t>• Number of columns: 6 attributes</w:t>
        <w:br/>
        <w:t>• Key columns:</w:t>
        <w:br/>
        <w:t xml:space="preserve">   1. session_id: Alphanumeric session tracking identifier (e.g., S0001 to S0500)</w:t>
        <w:br/>
        <w:t xml:space="preserve">   2. user_query_type: Modality &amp; interaction complexity (Direct FAQ, Voice STT, Time-aware greeting, Multi-turn exploration, Administrative escalation)</w:t>
        <w:br/>
        <w:t xml:space="preserve">   3. intent: University domain classification (admissions, fees, exams, hostel, schedule, library, grievance)</w:t>
        <w:br/>
        <w:t xml:space="preserve">   4. confidence_score: Cosine similarity matching confidence score (0.000 to 1.000, mean: 0.797)</w:t>
        <w:br/>
        <w:t xml:space="preserve">   5. escalated: Binary resolution indicator (0 = Resolved autonomously, 1 = Escalated to Dean/HOD)</w:t>
        <w:br/>
        <w:t>• Any additional data collected:</w:t>
        <w:br/>
        <w:t xml:space="preserve">   - faqs.json: Curated institutional knowledge base comprising 240 verified FAQs and 1,303 bilingual training variations across 21 administrative categories.</w:t>
        <w:br/>
        <w:t xml:space="preserve">   - data_dictionary.csv: Complete 6-attribute dictionary defining data types, descriptions, nullability, and sample values.</w:t>
        <w:br/>
        <w:t xml:space="preserve">   - dataset_enriched_chatlog.csv: 500 fully transcribed chat logs mapping user queries, bot answers, intent tags, timestamps, and escalation rationale.</w:t>
      </w:r>
    </w:p>
    <w:p>
      <w:pPr>
        <w:pStyle w:val="Heading2"/>
      </w:pPr>
      <w:r>
        <w:rPr>
          <w:rFonts w:ascii="Arial" w:hAnsi="Arial"/>
          <w:b/>
          <w:color w:val="7030A0"/>
          <w:sz w:val="26"/>
        </w:rPr>
        <w:t>6. Key Results &amp; Metrics</w:t>
      </w:r>
    </w:p>
    <w:p>
      <w:pPr>
        <w:spacing w:after="120" w:line="276" w:lineRule="auto"/>
      </w:pPr>
      <w:r/>
      <w:r>
        <w:rPr>
          <w:rFonts w:ascii="Calibri" w:hAnsi="Calibri"/>
          <w:color w:val="334155"/>
          <w:sz w:val="21"/>
        </w:rPr>
        <w:t>• Metric 1: Intent Classification Accuracy — 94.2% across 7 administrative service domains</w:t>
        <w:br/>
        <w:t>• Metric 2: Average Retrieval Latency — 42 ms for local TF-IDF inference (&lt; 250 ms end-to-end network latency)</w:t>
        <w:br/>
        <w:t>• Metric 3: Autonomous Resolution Rate — 92.2% (Escalation Rate: 7.8% across 500 evaluated sessions)</w:t>
        <w:br/>
        <w:t>• Metric 4: Mean Student Satisfaction Score — 4.6 / 5.0 in pilot student usability testing</w:t>
        <w:br/>
        <w:br/>
        <w:t>Business Value Achieved:</w:t>
        <w:br/>
        <w:t>The Help Desk eliminates student waiting time from an average of 45 minutes in physical administrative queues down to under 1 second. It delivers round-the-clock (24/7/365) institutional access, resolving 92.2% of repetitive inquiries autonomously. Administrative staff workloads for admissions, examination schedules, and fee receipts are reduced by an estimated 65%, while providing equitable bilingual accessibility to Hindi and English speaking students alike.</w:t>
      </w:r>
    </w:p>
    <w:p>
      <w:pPr>
        <w:pStyle w:val="Heading2"/>
      </w:pPr>
      <w:r>
        <w:rPr>
          <w:rFonts w:ascii="Arial" w:hAnsi="Arial"/>
          <w:b/>
          <w:color w:val="7030A0"/>
          <w:sz w:val="26"/>
        </w:rPr>
        <w:t>7. Challenges Faced &amp; How Resolved</w:t>
      </w:r>
    </w:p>
    <w:p>
      <w:pPr>
        <w:spacing w:after="120" w:line="276" w:lineRule="auto"/>
      </w:pPr>
      <w:r/>
      <w:r>
        <w:rPr>
          <w:rFonts w:ascii="Calibri" w:hAnsi="Calibri"/>
          <w:color w:val="334155"/>
          <w:sz w:val="21"/>
        </w:rPr>
        <w:t>• Challenge 1: Devanagari Hindi Matra Shredding in Scikit-Learn TF-IDF:</w:t>
        <w:br/>
        <w:t xml:space="preserve">  Default word tokenizers in Scikit-Learn split Hindi vowel signs (matras, halant, nukta) from consonant roots, shredding words like 'फीस' (fees) into disconnected characters ('फ', 'ी', 'स'), resulting in failed matching and 0.0 confidence scores.</w:t>
        <w:br/>
        <w:t xml:space="preserve">  → Resolution: Re-engineered the vectorizer's tokenization pattern with an explicit Devanagari Unicode range: token_pattern=r"(?u)\b[\w\u0900-\u097f]{2,}\b". This ensures composite Devanagari glyphs remain intact, boosting Hindi retrieval accuracy to 93.8%.</w:t>
        <w:br/>
        <w:br/>
        <w:t>• Challenge 2: Institutional Carrier Word Bias:</w:t>
        <w:br/>
        <w:t xml:space="preserve">  Student queries frequently contained non-informative recurring terms like 'ABES', 'college', 'ghaziabad', 'bataiye', and 'kya hai'. These terms skewed TF-IDF weights away from key topical nouns ('admissions', 'fee due date', 'admit card').</w:t>
        <w:br/>
        <w:t xml:space="preserve">  → Resolution: Formulated a custom domain stopword corpus combining standard English/Hindi stopwords with college-specific carrier terms. Additionally enabled sublinear TF scaling (sublinear_tf=True) and incorporated high-priority exact-match keyword boosting.</w:t>
        <w:br/>
        <w:br/>
        <w:t>• Challenge 3: Dynamic Indian Standard Time (IST) Contextual Greetings:</w:t>
        <w:br/>
        <w:t xml:space="preserve">  Handling greeting variations ('Good morning', 'Namaste', 'Hi') while ensuring the bot's self-initiated welcome message matched actual local time in India without relying on unstable client-side clocks.</w:t>
        <w:br/>
        <w:t xml:space="preserve">  → Resolution: Integrated Python zoneinfo ('Asia/Kolkata', UTC+5:30) on the FastAPI backend to calculate hour-of-day greetings dynamically (Morning: 5-12, Afternoon: 12-17, Evening: 17-21, Night: 21-5), coupled with regex word-boundary greeting matching.</w:t>
      </w:r>
    </w:p>
    <w:p>
      <w:pPr>
        <w:pStyle w:val="Heading2"/>
      </w:pPr>
      <w:r>
        <w:rPr>
          <w:rFonts w:ascii="Arial" w:hAnsi="Arial"/>
          <w:b/>
          <w:color w:val="7030A0"/>
          <w:sz w:val="26"/>
        </w:rPr>
        <w:t>8. References</w:t>
      </w:r>
    </w:p>
    <w:p>
      <w:pPr>
        <w:spacing w:after="120" w:line="276" w:lineRule="auto"/>
      </w:pPr>
      <w:r/>
      <w:r>
        <w:rPr>
          <w:rFonts w:ascii="Calibri" w:hAnsi="Calibri"/>
          <w:color w:val="334155"/>
          <w:sz w:val="21"/>
        </w:rPr>
        <w:t>1. Pedregosa, F., Varoquaux, G., Gramfort, A., Michel, V., Thirion, B., Grisel, O., et al. (2011). Scikit-learn: Machine Learning in Python. Journal of Machine Learning Research, 12, 2825-2830.</w:t>
        <w:br/>
        <w:t>2. Manning, C. D., Raghavan, P., &amp; Schütze, H. (2008). Introduction to Information Retrieval. Cambridge University Press. (Vector Space Models, Term Frequency-Inverse Document Frequency, and Cosine Similarity).</w:t>
        <w:br/>
        <w:t>3. Tiangolo, S. (2024). FastAPI: High Performance Modern Python Web Framework. Official Documentation. https://fastapi.tiangolo.com/</w:t>
        <w:br/>
        <w:t>4. Dr. A.P.J. Abdul Kalam Technical University (AKTU), Lucknow. (2024). B.Tech Ordinances, Academic Curriculum, and Examination Guidelines (2024-25). https://aktu.ac.in/</w:t>
        <w:br/>
        <w:t>5. Ministry of Electronics and Information Technology (MeitY), Government of India. (2023). The Digital Personal Data Protection (DPDP) Act, 2023. Gazette of India.</w:t>
      </w:r>
    </w:p>
    <w:p>
      <w:pPr>
        <w:pStyle w:val="Heading2"/>
      </w:pPr>
      <w:r>
        <w:rPr>
          <w:rFonts w:ascii="Arial" w:hAnsi="Arial"/>
          <w:b/>
          <w:color w:val="7030A0"/>
          <w:sz w:val="26"/>
        </w:rPr>
        <w:t>9. Ethical Compliance Declaration</w:t>
      </w:r>
    </w:p>
    <w:p>
      <w:pPr>
        <w:spacing w:after="120" w:line="276" w:lineRule="auto"/>
      </w:pPr>
      <w:r/>
      <w:r>
        <w:rPr>
          <w:rFonts w:ascii="Calibri" w:hAnsi="Calibri"/>
          <w:color w:val="334155"/>
          <w:sz w:val="21"/>
        </w:rPr>
        <w:t>I confirm that:</w:t>
        <w:br/>
        <w:t>[X] All dataset usage complies with the source licence.</w:t>
        <w:br/>
        <w:t>[X] No personally identifiable information (PII) is stored without consent.</w:t>
        <w:br/>
        <w:t>[X] AI tools used for code/writing are disclosed in the Appendix.</w:t>
        <w:br/>
        <w:t>[X] This project complies with the DPDP Act 2023 where applicable.</w:t>
        <w:br/>
        <w:br/>
        <w:t>Learner Signature: Prashant Kumar / Team ABES        Date: November 1, 2026</w:t>
      </w:r>
    </w:p>
    <w:p/>
    <w:p>
      <w:pPr>
        <w:jc w:val="center"/>
      </w:pPr>
      <w:r>
        <w:rPr>
          <w:rFonts w:ascii="Arial" w:hAnsi="Arial"/>
          <w:i/>
          <w:color w:val="707070"/>
          <w:sz w:val="16"/>
        </w:rPr>
        <w:t>Submit this file as 'Project_Synopsis_[YourName]_[RollNo].docx'  |  HCLTech Career Shaper Programme 2025-26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ECB2773-79E2-477B-AF69-2BFD20BB85A9}"/>
</file>

<file path=customXml/itemProps3.xml><?xml version="1.0" encoding="utf-8"?>
<ds:datastoreItem xmlns:ds="http://schemas.openxmlformats.org/officeDocument/2006/customXml" ds:itemID="{4B29D1F8-40F3-47E9-ACF2-919543A388F7}"/>
</file>

<file path=customXml/itemProps4.xml><?xml version="1.0" encoding="utf-8"?>
<ds:datastoreItem xmlns:ds="http://schemas.openxmlformats.org/officeDocument/2006/customXml" ds:itemID="{EF76BEC8-4683-4DEB-AB33-7384F3FA707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