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NEXUS RULE ENGINE</w:t>
      </w:r>
    </w:p>
    <w:p>
      <w:pPr>
        <w:spacing w:after="100"/>
        <w:jc w:val="center"/>
      </w:pPr>
      <w:r>
        <w:rPr>
          <w:rFonts w:ascii="Arial" w:cs="Arial" w:eastAsia="Arial" w:hAnsi="Arial"/>
          <w:color w:val="2E86C1"/>
          <w:sz w:val="40"/>
          <w:szCs w:val="40"/>
        </w:rPr>
        <w:t xml:space="preserve">AGENT 4: BODY</w:t>
      </w:r>
    </w:p>
    <w:p>
      <w:pPr>
        <w:spacing w:after="100"/>
        <w:jc w:val="center"/>
      </w:pPr>
      <w:r>
        <w:rPr>
          <w:rFonts w:ascii="Arial" w:cs="Arial" w:eastAsia="Arial" w:hAnsi="Arial"/>
          <w:color w:val="7F8C8D"/>
          <w:sz w:val="26"/>
          <w:szCs w:val="26"/>
        </w:rPr>
        <w:t xml:space="preserve">Complete Signal Definition Cards</w:t>
      </w:r>
    </w:p>
    <w:p>
      <w:pPr>
        <w:spacing w:after="100"/>
        <w:jc w:val="center"/>
      </w:pPr>
      <w:r>
        <w:rPr>
          <w:rFonts w:ascii="Arial" w:cs="Arial" w:eastAsia="Arial" w:hAnsi="Arial"/>
          <w:color w:val="7F8C8D"/>
          <w:sz w:val="22"/>
          <w:szCs w:val="22"/>
        </w:rPr>
        <w:t xml:space="preserve">Posture — Head Movement — Leaning — Gestures — Fidgeting — Self-Touch</w:t>
      </w:r>
    </w:p>
    <w:p>
      <w:pPr>
        <w:spacing w:after="400"/>
        <w:jc w:val="center"/>
      </w:pPr>
      <w:r>
        <w:rPr>
          <w:rFonts w:ascii="Arial" w:cs="Arial" w:eastAsia="Arial" w:hAnsi="Arial"/>
          <w:color w:val="7F8C8D"/>
          <w:sz w:val="22"/>
          <w:szCs w:val="22"/>
        </w:rPr>
        <w:t xml:space="preserve">Version 1.0 — March 2026</w:t>
      </w:r>
    </w:p>
    <w:p>
      <w:r>
        <w:br w:type="page"/>
      </w:r>
    </w:p>
    <w:p>
      <w:pPr>
        <w:pStyle w:val="Heading1"/>
        <w:spacing w:after="200" w:before="360"/>
      </w:pPr>
      <w:r>
        <w:rPr>
          <w:rFonts w:ascii="Arial" w:cs="Arial" w:eastAsia="Arial" w:hAnsi="Arial"/>
          <w:b/>
          <w:bCs/>
          <w:color w:val="1B4F72"/>
          <w:sz w:val="32"/>
          <w:szCs w:val="32"/>
        </w:rPr>
        <w:t xml:space="preserve">How This Agent Works</w:t>
      </w:r>
    </w:p>
    <w:p>
      <w:pPr>
        <w:spacing w:after="140" w:line="276"/>
      </w:pPr>
      <w:r>
        <w:rPr>
          <w:rFonts w:ascii="Arial" w:cs="Arial" w:eastAsia="Arial" w:hAnsi="Arial"/>
          <w:sz w:val="21"/>
          <w:szCs w:val="21"/>
        </w:rPr>
        <w:t xml:space="preserve">The BODY Agent analyses whole-body pose and gesture signals using MediaPipe Holistic (33 body landmarks + 21 hand landmarks per hand). It operates on per-speaker video frames at 1-2 fps for trend signals (posture, leaning) and event-triggered detection for discrete gestures (head nod, self-touch). This is the lowest frame-rate agent because body signals change slower than facial expressions.</w:t>
      </w:r>
    </w:p>
    <w:p>
      <w:pPr>
        <w:spacing w:after="140" w:line="276"/>
      </w:pPr>
      <w:r>
        <w:rPr>
          <w:rFonts w:ascii="Arial" w:cs="Arial" w:eastAsia="Arial" w:hAnsi="Arial"/>
          <w:b/>
          <w:bCs/>
          <w:sz w:val="21"/>
          <w:szCs w:val="21"/>
        </w:rPr>
        <w:t xml:space="preserve">CRITICAL LIMITATION — Webcam Visibility: </w:t>
      </w:r>
      <w:r>
        <w:rPr>
          <w:rFonts w:ascii="Arial" w:cs="Arial" w:eastAsia="Arial" w:hAnsi="Arial"/>
          <w:sz w:val="21"/>
          <w:szCs w:val="21"/>
        </w:rPr>
        <w:t xml:space="preserve">In typical video calls, participants are visible only from shoulders up. This means: crossed arms are rarely visible (below frame), lower body signals (feet, leg crossing) are completely invisible, leaning detection is limited to upper body tilt, and full posture analysis requires at minimum a waist-up frame. The rule engine is designed for WEBCAM-VISIBLE signals only. Rules that require full-body visibility are marked as CONDITIONAL and produce confidence = 0.0 when only head/shoulders are visible.</w:t>
      </w:r>
    </w:p>
    <w:p>
      <w:pPr>
        <w:spacing w:after="140" w:line="276"/>
      </w:pPr>
      <w:r>
        <w:rPr>
          <w:rFonts w:ascii="Arial" w:cs="Arial" w:eastAsia="Arial" w:hAnsi="Arial"/>
          <w:b/>
          <w:bCs/>
          <w:sz w:val="21"/>
          <w:szCs w:val="21"/>
        </w:rPr>
        <w:t xml:space="preserve">Core Framework — Comfort vs. Discomfort: </w:t>
      </w:r>
      <w:r>
        <w:rPr>
          <w:rFonts w:ascii="Arial" w:cs="Arial" w:eastAsia="Arial" w:hAnsi="Arial"/>
          <w:sz w:val="21"/>
          <w:szCs w:val="21"/>
        </w:rPr>
        <w:t xml:space="preserve">Navarro (2008) established that the primary binary in body language is comfort vs. discomfort. Comfort signals: open posture, ventral fronting (torso facing toward person), forward lean, relaxed shoulders, visible hands, open palms. Discomfort signals: closed posture, ventral denial (torso angled away), backward lean, elevated shoulders, hidden hands, self-touch/pacifying behaviours. NEXUS maps every body signal to this comfort/discomfort axis first, then adds nuance.</w:t>
      </w:r>
    </w:p>
    <w:p>
      <w:pPr>
        <w:spacing w:after="140" w:line="276"/>
      </w:pPr>
      <w:r>
        <w:rPr>
          <w:rFonts w:ascii="Arial" w:cs="Arial" w:eastAsia="Arial" w:hAnsi="Arial"/>
          <w:b/>
          <w:bCs/>
          <w:sz w:val="21"/>
          <w:szCs w:val="21"/>
        </w:rPr>
        <w:t xml:space="preserve">Cluster Rule (Pease &amp; Pease 2004, Navarro 2008): </w:t>
      </w:r>
      <w:r>
        <w:rPr>
          <w:rFonts w:ascii="Arial" w:cs="Arial" w:eastAsia="Arial" w:hAnsi="Arial"/>
          <w:sz w:val="21"/>
          <w:szCs w:val="21"/>
        </w:rPr>
        <w:t xml:space="preserve">Single gestures are ambiguous. Crossed arms might mean cold, not defensive. A head tilt might mean curiosity, not submission. The BODY Agent NEVER produces a high-confidence conclusion from a single signal. It requires clusters of 3+ congruent signals, or cross-agent confirmation, to reach confidence &gt; 0.60.</w:t>
      </w:r>
    </w:p>
    <w:p>
      <w:r>
        <w:br w:type="page"/>
      </w:r>
    </w:p>
    <w:p>
      <w:pPr>
        <w:pStyle w:val="Heading1"/>
        <w:spacing w:after="200" w:before="360"/>
      </w:pPr>
      <w:r>
        <w:rPr>
          <w:rFonts w:ascii="Arial" w:cs="Arial" w:eastAsia="Arial" w:hAnsi="Arial"/>
          <w:b/>
          <w:bCs/>
          <w:color w:val="1B4F72"/>
          <w:sz w:val="32"/>
          <w:szCs w:val="32"/>
        </w:rPr>
        <w:t xml:space="preserve">Domain 1: Posture &amp; Body Openness</w:t>
      </w:r>
    </w:p>
    <w:p>
      <w:pPr>
        <w:pBdr>
          <w:bottom w:val="single" w:color="2E86C1" w:sz="2"/>
        </w:pBdr>
        <w:spacing w:after="80" w:before="240"/>
      </w:pPr>
      <w:r>
        <w:rPr>
          <w:rFonts w:ascii="Arial" w:cs="Arial" w:eastAsia="Arial" w:hAnsi="Arial"/>
          <w:b/>
          <w:bCs/>
          <w:color w:val="2E86C1"/>
          <w:sz w:val="24"/>
          <w:szCs w:val="24"/>
        </w:rPr>
        <w:t xml:space="preserve">BODY-POST-01: Posture Score &amp; Body Openness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posture_score + body_openness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Mehrabian (1968) 'Inference of Attitudes from Posture': forward lean + direct orientation = positive attitude toward conversation partner. Slouched posture + indirect orientation = negative attitude or disinterest. Carney, Cuddy &amp; Yap (2010) 'Power Posing': expansive postures (open, space-occupying) increase testosterone and decrease cortisol — associated with confidence. NOTE: the hormonal claims have been disputed (Ranehill et al. 2015 failed to replicate), but the PERCEPTUAL effect (expansive posture is PERCEIVED as confident by observers) remains well-supported. Navarro (2008): ventral fronting (facing torso toward person) = comfort/engagement. Ventral denial (angling away) = discomfort/disengagement. Riskind &amp; Gotay (1982): physical posture feeds back into motivation and emotion — upright posture improves mood and task persistence. Pease &amp; Pease (2004): body openness (limbs uncrossed, torso exposed) signals receptivity. Body closure (arms crossed, torso shielded) signals resistance.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shoulder_keypoints[L,R] (x,y from MediaPipe), spine_angle_deg (computed from shoulder midpoint to hip midpoint relative to vertical), shoulder_symmetry, torso_orientation_deg (angle of shoulder line relative to camera), arm_position (from elbow/wrist keypoints), visible_body_pct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POSTURE_SCORE (0.0-1.0, where 1.0 = upright/confident): Compute spine_angle from shoulder midpoint vertical alignment. If spine_angle &lt; 5° from vertical = upright (score 0.8-1.0). If 5-15° = slight lean (0.5-0.8). If &gt; 15° = slouched (0.2-0.5). If &gt; 25° = significant slouch (0.0-0.2). Modifiers: shoulder_symmetry &lt; 0.8 (one shoulder significantly higher) = asymmetric posture, subtract 0.10. BODY_OPENNESS (0.0-1.0): Factor 1: Arm position. Arms at sides or gesturing = open (0.8-1.0). Arms on desk/table = neutral (0.5-0.7). Arms crossed over torso = closed (0.1-0.3). Factor 2: Torso orientation. Facing camera directly = fronting (add 0.2). Angled &gt; 20° away = denial (subtract 0.2). Factor 3: Shoulder tension. Elevated shoulders (shoulder_y above baseline) = tension (subtract 0.15). body_openness = weighted average of factors. CONDITIONAL: if visible_body_pct &lt; 0.3 (head only) → body_openness = NULL, posture_score based only on head/shoulder alignment.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posture_score confidence: 0.55 (reliably detectable from shoulders). body_openness confidence: 0.40 (arm crossing often below frame). Decrease both by -0.20 if only head/shoulders visible. Increase by +0.10 if stable over 30s+ window.</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if posture_score &gt; 0.7 + confident_tone → REINFORCE authority. If posture_score &lt; 0.3 + monotone → REINFORCE disengagement. If posture_score &lt; 0.3 + high energy voice → CONFLICT (slouched but vocally animated = fatigue or informality, not disengagement). FACIAL Agent: if body_openness &lt; 0.3 + primary_emotion = 'happy' → CONFLICT (closed body + happy face = complex state, may be comfortable-closed, not defensive). LANGUAGE Agent: if body_openness &lt; 0.3 + buying_signal &gt; 0.6 → 'verbal_compliance_only' flag (Rackham 1988 + Navarro 2008: saying yes with body saying no).</w:t>
            </w:r>
          </w:p>
        </w:tc>
      </w:tr>
    </w:tbl>
    <w:p>
      <w:r>
        <w:br w:type="page"/>
      </w:r>
    </w:p>
    <w:p>
      <w:pPr>
        <w:pStyle w:val="Heading1"/>
        <w:spacing w:after="200" w:before="360"/>
      </w:pPr>
      <w:r>
        <w:rPr>
          <w:rFonts w:ascii="Arial" w:cs="Arial" w:eastAsia="Arial" w:hAnsi="Arial"/>
          <w:b/>
          <w:bCs/>
          <w:color w:val="1B4F72"/>
          <w:sz w:val="32"/>
          <w:szCs w:val="32"/>
        </w:rPr>
        <w:t xml:space="preserve">Domain 2: Head Nodding &amp; Shaking</w:t>
      </w:r>
    </w:p>
    <w:p>
      <w:pPr>
        <w:pBdr>
          <w:bottom w:val="single" w:color="2E86C1" w:sz="2"/>
        </w:pBdr>
        <w:spacing w:after="80" w:before="240"/>
      </w:pPr>
      <w:r>
        <w:rPr>
          <w:rFonts w:ascii="Arial" w:cs="Arial" w:eastAsia="Arial" w:hAnsi="Arial"/>
          <w:b/>
          <w:bCs/>
          <w:color w:val="2E86C1"/>
          <w:sz w:val="24"/>
          <w:szCs w:val="24"/>
        </w:rPr>
        <w:t xml:space="preserve">BODY-HEAD-01: Head Nod &amp; Shake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head_nod_detected + head_shake_detected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McClave (2000) 'Linguistic Functions of Head Movements': head nods serve multiple functions — agreement, acknowledgement, turn-yielding signal, and backchannel. Context determines meaning. Harrigan &amp; Rosenthal (1986): physician head nodding increases perceived rapport. Head nods synchronised with speaker's speech rhythm indicate active listening. Pease &amp; Pease (2004): triple head nod encourages the speaker to continue 3-4x longer than without nodding. Head shake during positive verbal content is a powerful incongruence signal (Navarro 2008: the body reveals what words conceal). Anstfield et al. (1969): head and body cues are used in emotion judgement, sometimes overriding facial cues.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nose_keypoint_y_trajectory (from MediaPipe face landmarks), head_pitch_deg (rotation around lateral axis), head_yaw_deg (rotation around vertical axis), movement_frequency_hz, movement_amplitude_deg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HEAD NOD detection: Track nose_keypoint_y over time. Detect oscillation in vertical axis (pitch). IF amplitude &gt; 5° AND frequency between 1-4 Hz (1-4 nods per second) AND movement is predominantly vertical (pitch amplitude &gt; 2x yaw amplitude) THEN head_nod_detected = true. Classify nod type: Single nod (1 cycle) = acknowledgement. Double nod (2 cycles) = agreement. Triple+ nod (3+ cycles) = encouragement to continue (Pease 2004). Slow nod (&lt; 1 Hz) = thoughtful agreement or patience. Fast nod (&gt; 3 Hz) = impatience ('I get it, move on'). HEAD SHAKE detection: Track nose_keypoint_x. Detect oscillation in horizontal axis (yaw). IF amplitude &gt; 5° AND frequency between 1-3 Hz AND movement is predominantly horizontal (yaw amplitude &gt; 2x pitch amplitude) THEN head_shake_detected = true. CRITICAL INCONGRUENCE CHECK: If head_shake_detected WHILE speaker is saying something affirmative ('yes', 'I agree', 'absolutely') → flag 'head_body_incongruence' (Pease 2004, Navarro 2008: unconscious disagreement leaking through body despite verbal agreement).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Nod/shake detection confidence: 0.75 (head movement is reliably detectable from any webcam angle). Nod TYPE classification: 0.55 (requires accurate frequency measurement). Incongruence detection: 0.60 (requires precise temporal alignment with transcript).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Agent: head_nod + positive verbal content → confirmed agreement (confidence +0.15). head_shake + positive verbal content → 'unconscious_disagreement' (high-value signal for FUSION). head_nod + objection_signal → nuanced — may mean 'I hear you but disagree' (acknowledgement nod, not agreement). VOICE Agent: fast head nod + increased speech rate from interlocutor → the nods may be rushing the other person. CONVERSATION Agent: nod frequency feeds into empathy_score and rapport_score calculations.</w:t>
            </w:r>
          </w:p>
        </w:tc>
      </w:tr>
    </w:tbl>
    <w:p>
      <w:r>
        <w:br w:type="page"/>
      </w:r>
    </w:p>
    <w:p>
      <w:pPr>
        <w:pStyle w:val="Heading1"/>
        <w:spacing w:after="200" w:before="360"/>
      </w:pPr>
      <w:r>
        <w:rPr>
          <w:rFonts w:ascii="Arial" w:cs="Arial" w:eastAsia="Arial" w:hAnsi="Arial"/>
          <w:b/>
          <w:bCs/>
          <w:color w:val="1B4F72"/>
          <w:sz w:val="32"/>
          <w:szCs w:val="32"/>
        </w:rPr>
        <w:t xml:space="preserve">Domain 3: Leaning Direction</w:t>
      </w:r>
    </w:p>
    <w:p>
      <w:pPr>
        <w:pBdr>
          <w:bottom w:val="single" w:color="2E86C1" w:sz="2"/>
        </w:pBdr>
        <w:spacing w:after="80" w:before="240"/>
      </w:pPr>
      <w:r>
        <w:rPr>
          <w:rFonts w:ascii="Arial" w:cs="Arial" w:eastAsia="Arial" w:hAnsi="Arial"/>
          <w:b/>
          <w:bCs/>
          <w:color w:val="2E86C1"/>
          <w:sz w:val="24"/>
          <w:szCs w:val="24"/>
        </w:rPr>
        <w:t xml:space="preserve">BODY-LEAN-01: Forward/Backward Lean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leaning_direction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Mehrabian (1969) 'Significance of Posture and Position': forward lean signals positive attitude, interest, and engagement toward the conversation partner. Backward lean signals negative attitude, disinterest, or withdrawal. Bernieri &amp; Rosenthal (1991): interpersonal synchrony (mirroring of lean direction between partners) is a strong rapport indicator. Navarro (2008): ventral fronting/leaning in = comfort with person/topic. Leaning away = discomfort, wanting to create distance. The lean is one of the most reliable body language signals because it is difficult to consciously control and changes in response to momentary interest shifts.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shoulder_midpoint_z_trajectory (depth estimation from face/shoulder size change), head_size_change_pct (proxy for forward/backward movement when depth estimation unavailable), torso_tilt_deg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PRIMARY method (if depth estimation available): Track shoulder_midpoint_z over time. Forward movement &gt; 3cm from baseline = 'forward_lean'. Backward movement &gt; 3cm = 'backward_lean'. Within 3cm = 'neutral'. FALLBACK method (monocular webcam, no depth): Use head_size_change_pct as proxy. Head appearing larger (&gt; +5% from baseline) = leaning forward. Smaller (&lt; -5%) = leaning backward. Combined with torso_tilt_deg from shoulder keypoints. Output: leaning_direction ∈ {forward, backward, neutral}. Update rate: every 2 seconds (lean changes are slow). Track lean_transitions: timestamp when lean direction changes. Lean transitions that correlate with topic changes are high-value diagnostic signals.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0.45 (depth estimation from monocular webcam is imprecise). Increase by +0.15 if consistent lean direction maintained &gt; 10 seconds. Increase by +0.20 if lean transition co-occurs with topic change or specific utterance (contextualised lean is more interpretable).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Agent: forward_lean during buying_signal &gt; 0.5 → STRONG buying intent confirmation (Rackham + Navarro: genuine interest involves physical approach). backward_lean during buying_signal &gt; 0.5 → 'verbal_compliance_only' flag. VOICE Agent: forward_lean + increased energy → confirmed engagement. backward_lean + energy_decrease → confirmed withdrawal. GAZE Agent: forward_lean + high eye_contact_pct → peak engagement moment (timestamp for post-session report).</w:t>
            </w:r>
          </w:p>
        </w:tc>
      </w:tr>
    </w:tbl>
    <w:p>
      <w:r>
        <w:br w:type="page"/>
      </w:r>
    </w:p>
    <w:p>
      <w:pPr>
        <w:pStyle w:val="Heading1"/>
        <w:spacing w:after="200" w:before="360"/>
      </w:pPr>
      <w:r>
        <w:rPr>
          <w:rFonts w:ascii="Arial" w:cs="Arial" w:eastAsia="Arial" w:hAnsi="Arial"/>
          <w:b/>
          <w:bCs/>
          <w:color w:val="1B4F72"/>
          <w:sz w:val="32"/>
          <w:szCs w:val="32"/>
        </w:rPr>
        <w:t xml:space="preserve">Domain 4: Hand Gestures &amp; Visibility</w:t>
      </w:r>
    </w:p>
    <w:p>
      <w:pPr>
        <w:pBdr>
          <w:bottom w:val="single" w:color="2E86C1" w:sz="2"/>
        </w:pBdr>
        <w:spacing w:after="80" w:before="240"/>
      </w:pPr>
      <w:r>
        <w:rPr>
          <w:rFonts w:ascii="Arial" w:cs="Arial" w:eastAsia="Arial" w:hAnsi="Arial"/>
          <w:b/>
          <w:bCs/>
          <w:color w:val="2E86C1"/>
          <w:sz w:val="24"/>
          <w:szCs w:val="24"/>
        </w:rPr>
        <w:t xml:space="preserve">BODY-GEST-01: Gesture Type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gesture_type + hand_visible + hand_concealment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McNeill (1992) 'Hand and Mind': established 4 gesture types — iconic (represent objects/actions), metaphoric (represent abstract ideas), deictic (pointing), and beats (rhythmic emphasis). Gestures are co-produced with speech and reveal cognitive processes. Ekman &amp; Friesen (1972) classified gestures as: illustrators (supplement speech), emblems (replace speech, like thumbs-up), adaptors (self-grooming/comfort), and regulators (manage conversation flow). Goldin-Meadow (2003): gestures help us think, not just communicate. When gestures MISMATCH speech content, the speaker is in a transitional knowledge state (gesture reveals implicit knowledge not yet verbalised). Navarro (2008): hand visibility = openness/honesty. Hand concealment (hiding hands, sitting on hands, putting hands in pockets) is associated with deception or discomfort. Steepling (fingertips touching) = highest confidence gesture. Wringing hands = anxiety. Kendon (1972): gesture and speech are tightly co-produced; gesture onset precedes speech onset, showing gesture reflects intention before words.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hand_landmarks[21 per hand] (from MediaPipe), hand_visible_L (bool), hand_visible_R (bool), hand_position_relative_to_body, hand_movement_trajectory, finger_configuration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HAND VISIBILITY: hand_visible = true if MediaPipe detects hand landmarks with confidence &gt; 0.5. hand_concealment = true if hands are NOT visible for &gt; 5 seconds during speech (Navarro: hiding hands while talking = discomfort indicator). Step 2: GESTURE CLASSIFICATION (when hands visible): OPEN_PALM: palm facing toward camera/interlocutor + fingers spread. Signals openness, honesty (Pease 2004). STEEPLE: fingertips touching, fingers apart, forming a tent shape. Signals high confidence (Navarro 2008: the single most powerful confidence gesture). POINTING: index finger extended toward a direction/person. Signals emphasis or accusation (Navarro: 'no one likes to be pointed at'). SELF_TOUCH: hand contacts face, neck, hair, or opposite arm. Sub-classify as pacifying_behaviour (see BODY-TOUCH-01). FIDGET: rapid, repetitive hand movements without communicative purpose (pen clicking, finger tapping). See BODY-FIDG-01. BEAT: rhythmic hand movements synchronised with speech emphasis. Signals engagement and confidence in speaking. ILLUSTRATOR: representational hand movements that depict what is being said. Signals cognitive engagement and effort to communicate clearly.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Hand visibility detection: 0.80 (MediaPipe hand detection is reliable). Gesture classification: 0.45 (gesture type boundaries are fuzzy, especially between illustrators and beats). Hand concealment as discomfort signal: 0.35 (many innocent reasons for hands being off-screen in webcam).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beat_gestures synchronised with speech emphasis → engaged, confident speaker. No gestures during animated speech → unusual restraint (possible deception — Navarro: liars restrict arm/leg movements). LANGUAGE Agent: steeple_gesture during persuasion_technique detection → confident seller. open_palm during empathy_language → reinforced sincerity. pointing during criticism (Gottman horseman) → escalated aggression signal. FACIAL Agent: hand_concealment + stress_visual &gt; 0.5 → amplified discomfort.</w:t>
            </w:r>
          </w:p>
        </w:tc>
      </w:tr>
    </w:tbl>
    <w:p>
      <w:r>
        <w:br w:type="page"/>
      </w:r>
    </w:p>
    <w:p>
      <w:pPr>
        <w:pStyle w:val="Heading1"/>
        <w:spacing w:after="200" w:before="360"/>
      </w:pPr>
      <w:r>
        <w:rPr>
          <w:rFonts w:ascii="Arial" w:cs="Arial" w:eastAsia="Arial" w:hAnsi="Arial"/>
          <w:b/>
          <w:bCs/>
          <w:color w:val="1B4F72"/>
          <w:sz w:val="32"/>
          <w:szCs w:val="32"/>
        </w:rPr>
        <w:t xml:space="preserve">Domain 5: Fidgeting &amp; Movement Energy</w:t>
      </w:r>
    </w:p>
    <w:p>
      <w:pPr>
        <w:pBdr>
          <w:bottom w:val="single" w:color="2E86C1" w:sz="2"/>
        </w:pBdr>
        <w:spacing w:after="80" w:before="240"/>
      </w:pPr>
      <w:r>
        <w:rPr>
          <w:rFonts w:ascii="Arial" w:cs="Arial" w:eastAsia="Arial" w:hAnsi="Arial"/>
          <w:b/>
          <w:bCs/>
          <w:color w:val="2E86C1"/>
          <w:sz w:val="24"/>
          <w:szCs w:val="24"/>
        </w:rPr>
        <w:t xml:space="preserve">BODY-FIDG-01: Fidget Rate &amp; Movement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fidget_rate + movement_energy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Mehrabian (1968): fidgeting and restless movement correlate with anxiety, boredom, or desire to leave the interaction. Harrigan et al. (1991): self-touching and fidgeting reduce observers' positive perceptions of the speaker. Navarro (2008): the limbic system drives fidgeting as a displacement behaviour — excess energy from freeze/flight/fight response manifests as repetitive motion. IMPORTANT DISTINCTION: fidgeting differs from gesturing. Gestures are communicative (synchronised with speech, purposeful). Fidgeting is non-communicative (repetitive, purposeless, asynchronous with speech).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all_body_keypoints_trajectory (frame-to-frame displacement), movement_variance_per_second, movement_asynchrony_with_speech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Compute total_body_movement per second = sum of all visible keypoint displacements between consecutive frames. Step 2: Classify movement: IF movement is LOW (&lt; baseline * 0.5) AND sustained &gt; 10s THEN movement_energy = 'still' (frozen, possible freeze response or deep concentration). IF movement is within [baseline * 0.5, baseline * 1.5] THEN movement_energy = 'normal'. IF movement is HIGH (&gt; baseline * 1.5) AND synchronised with speech (correlates with speaking turns) THEN movement_energy = 'animated' (engaged, expressive — positive). IF movement is HIGH AND NOT synchronised with speech (occurs during listening, or is repetitive/rhythmic) THEN movement_energy = 'fidgeting' (anxiety, boredom, or restlessness). Step 3: Compute fidget_rate (0.0-1.0) = proportion of movement that is asynchronous with speech / total movement. High fidget_rate (&gt; 0.6) = significant fidgeting. Step 4: Detect specific fidget patterns: pen_clicking (rhythmic hand movement), leg_bounce (if visible), chair_swivel, hair_play, object_manipulation.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fidget_rate confidence: 0.50. movement_energy confidence: 0.55. Decrease by -0.15 if video is low-framerate (&lt; 5fps) as movement tracking degrades. Increase by +0.15 if fidgeting onset correlates with specific topic (topic-triggered fidgeting is more diagnostic than habitual fidgeting).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fidgeting + filler_spike + pitch_elevation → triple anxiety confirmation (very high reliability). fidgeting + calm voice + fluent speech → likely habitual or boredom, not anxiety. FACIAL Agent: fidgeting + stress_visual &gt; 0.5 → confirmed stress/discomfort across body + face. GAZE Agent: fidgeting + distraction_count elevated → disengagement confirmed. LANGUAGE Agent: fidgeting specifically when interlocutor discusses [topic] → topic-specific discomfort (actionable insight).</w:t>
            </w:r>
          </w:p>
        </w:tc>
      </w:tr>
    </w:tbl>
    <w:p>
      <w:r>
        <w:br w:type="page"/>
      </w:r>
    </w:p>
    <w:p>
      <w:pPr>
        <w:pStyle w:val="Heading1"/>
        <w:spacing w:after="200" w:before="360"/>
      </w:pPr>
      <w:r>
        <w:rPr>
          <w:rFonts w:ascii="Arial" w:cs="Arial" w:eastAsia="Arial" w:hAnsi="Arial"/>
          <w:b/>
          <w:bCs/>
          <w:color w:val="1B4F72"/>
          <w:sz w:val="32"/>
          <w:szCs w:val="32"/>
        </w:rPr>
        <w:t xml:space="preserve">Domain 6: Self-Touch &amp; Pacifying Behaviours</w:t>
      </w:r>
    </w:p>
    <w:p>
      <w:pPr>
        <w:pBdr>
          <w:bottom w:val="single" w:color="2E86C1" w:sz="2"/>
        </w:pBdr>
        <w:spacing w:after="80" w:before="240"/>
      </w:pPr>
      <w:r>
        <w:rPr>
          <w:rFonts w:ascii="Arial" w:cs="Arial" w:eastAsia="Arial" w:hAnsi="Arial"/>
          <w:b/>
          <w:bCs/>
          <w:color w:val="2E86C1"/>
          <w:sz w:val="24"/>
          <w:szCs w:val="24"/>
        </w:rPr>
        <w:t xml:space="preserve">BODY-TOUCH-01: Self-Touch / Adaptor Gesture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self_touch_detected + pacifying_type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&amp; Friesen (1969) 'Repertoire of Nonverbal Behavior': established 'adaptors' — self-touching and object-touching behaviours that serve self-regulation functions. Three types: self-adaptors (touching own body), alter-adaptors (touching another person), and object-adaptors (manipulating objects). Navarro (2008, 2010): pacifying behaviours are the body's way of self-soothing after a limbic stress response. The most reliable are: neck touching/covering (touches suprasternal notch — especially in women), face touching, hair stroking, lip touching, forehead wiping, and collar ventilating. Key finding: the HIGHER the stress, the more the pacifying behaviour moves toward the face and neck (closer to vital areas = greater perceived threat). Harrigan et al. (1991): observers perceive self-touching individuals as less confident and more anxious. Ekman &amp; Friesen (1972): adaptors increase under stress and decrease under relaxed conditions.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hand_to_face_proximity_cm (distance between hand landmarks and face landmarks), hand_to_neck_proximity_cm, touch_event_duration_ms, touch_frequency_per_min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DETECT self-touch events: IF hand_landmark(wrist or fingers) comes within 5cm of face_landmark(any) AND duration &gt; 300ms (not a brief gesture passing by face) THEN self_touch_detected = true. Step 2: CLASSIFY location: NECK_TOUCH: hand near neck/throat area. Highest-stress pacifying behaviour (Navarro: suprasternal notch touch is the single most reliable discomfort indicator). FACE_TOUCH: hand contacts cheek, chin, forehead, or mouth. Sub-types: chin_rest (thinking), cheek_touch (evaluating), forehead_touch (frustration), mouth_cover (suppression). HAIR_TOUCH: hand contacts or adjusts hair. Self-soothing or grooming (context-dependent). EAR_TOUCH: touching or pulling ear. Evaluating or self-soothing. ARM_CROSS_SELF_HUG: arms wrapped around torso. Navarro: 'it’s a self-hug' — self-soothing, not necessarily defensive blocking. Step 3: COMPUTE pacifying_rate = self_touch_events / speaking_time_minutes. Step 4: Compare to baseline. IF pacifying_rate &gt; baseline * 1.5 THEN flag 'elevated_pacifying' at that timestamp.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for touch detection. 0.35 for interpretation (self-touch is multifunctional — can be habitual, can be comfort-seeking, can be grooming). Increase by +0.20 if pacifying onset follows a specific question or statement (reactive pacifying is more diagnostic). Decrease by -0.15 if speaker has high baseline self-touch rate (habitual toucher).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elevated_pacifying + vocal_stress_score &gt; 0.5 → confirmed discomfort (multi-modal stress). If vocal_stress_score &lt; 0.3 but pacifying elevated → body-only stress signal (may indicate the person is successfully controlling their voice but the body leaks). FACIAL Agent: neck_touch + lip_compression (AU24) → strong stress cluster. LANGUAGE Agent: elevated_pacifying when discussing specific topic → topic-specific discomfort. Map pacifying events to transcript timeline for post-session analysis. CONVERSATION Agent: if pacifying_rate increases when answering questions from specific person → interpersonal discomfort with that individual.</w:t>
            </w:r>
          </w:p>
        </w:tc>
      </w:tr>
    </w:tbl>
    <w:p>
      <w:r>
        <w:br w:type="page"/>
      </w:r>
    </w:p>
    <w:p>
      <w:pPr>
        <w:pStyle w:val="Heading1"/>
        <w:spacing w:after="200" w:before="360"/>
      </w:pPr>
      <w:r>
        <w:rPr>
          <w:rFonts w:ascii="Arial" w:cs="Arial" w:eastAsia="Arial" w:hAnsi="Arial"/>
          <w:b/>
          <w:bCs/>
          <w:color w:val="1B4F72"/>
          <w:sz w:val="32"/>
          <w:szCs w:val="32"/>
        </w:rPr>
        <w:t xml:space="preserve">Domain 7: Body Mirroring / Postural Synchrony</w:t>
      </w:r>
    </w:p>
    <w:p>
      <w:pPr>
        <w:pBdr>
          <w:bottom w:val="single" w:color="2E86C1" w:sz="2"/>
        </w:pBdr>
        <w:spacing w:after="80" w:before="240"/>
      </w:pPr>
      <w:r>
        <w:rPr>
          <w:rFonts w:ascii="Arial" w:cs="Arial" w:eastAsia="Arial" w:hAnsi="Arial"/>
          <w:b/>
          <w:bCs/>
          <w:color w:val="2E86C1"/>
          <w:sz w:val="24"/>
          <w:szCs w:val="24"/>
        </w:rPr>
        <w:t xml:space="preserve">BODY-MIRROR-01: Postural Mirroring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body_mirroring_score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Chartrand &amp; Bargh (1999) 'The Chameleon Effect': people unconsciously mimic the postures, gestures, and mannerisms of interaction partners. Mimicry increases liking and rapport — participants rated confederates who mimicked them as more likeable. Bernieri &amp; Rosenthal (1991): interpersonal synchrony (coordinated movement between people) predicts rapport quality. The synchrony is bidirectional — both parties converge toward each other's body language. Pentland (2008): 'mimicry' is one of 4 honest signals. The degree to which one person mirrors another's patterns is a reliable predictor of interpersonal outcomes. Bavelas et al. (1988): motor mimicry serves a communicative function — shows empathy and understanding.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speaker_A_posture_vector (shoulder angle, head tilt, lean direction), speaker_B_posture_vector, cross_correlation_of_posture_vectors, mirroring_lag_ms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Extract posture vector for each speaker every 2 seconds: [shoulder_tilt_deg, head_tilt_deg, lean_direction_deg, body_openness]. Step 2: Compute cross-correlation between Speaker A and Speaker B posture vectors over rolling 30-second window. Step 3: body_mirroring_score = normalized cross-correlation (0.0-1.0). High correlation (&gt; 0.7) = strong mirroring (rapport indicator). Moderate (0.4-0.7) = some synchrony (normal). Low (&lt; 0.4) = independent/disconnected postures. Step 4: Detect mirroring_lag: if correlation peaks at lag &gt; 0, determine who leads and who follows. The person who leads (whose posture changes first, and the other follows) has higher social influence (Pentland 2008). Step 5: Track mirroring_trajectory over session: increasing mirroring = rapport building. Decreasing = rapport deteriorating.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0.40 (mirroring detection from webcam is imprecise — limited body visibility and monocular depth). Increase by +0.15 if mirroring is detected across multiple body features simultaneously (posture + head tilt + lean direction). Requires 2+ visible speakers.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Agent: body_mirroring_score + Language Style Matching (LSM from LANG-EMP-01) → if BOTH linguistic and body mirroring are high, this is the STRONGEST rapport indicator in the entire system (Chartrand &amp; Bargh 1999 + Ireland et al. 2011). VOICE Agent: if speaking patterns also converge (similar speech rate, similar energy) → triple-channel mirroring = exceptional rapport. CONVERSATION Agent: body_mirroring_score feeds directly into rapport_score.</w:t>
            </w:r>
          </w:p>
        </w:tc>
      </w:tr>
    </w:tbl>
    <w:p>
      <w:r>
        <w:br w:type="page"/>
      </w:r>
    </w:p>
    <w:p>
      <w:pPr>
        <w:pStyle w:val="Heading1"/>
        <w:spacing w:after="200" w:before="360"/>
      </w:pPr>
      <w:r>
        <w:rPr>
          <w:rFonts w:ascii="Arial" w:cs="Arial" w:eastAsia="Arial" w:hAnsi="Arial"/>
          <w:b/>
          <w:bCs/>
          <w:color w:val="1B4F72"/>
          <w:sz w:val="32"/>
          <w:szCs w:val="32"/>
        </w:rPr>
        <w:t xml:space="preserve">Domain 8: Per-Speaker Body Baseline</w:t>
      </w:r>
    </w:p>
    <w:p>
      <w:pPr>
        <w:pBdr>
          <w:bottom w:val="single" w:color="2E86C1" w:sz="2"/>
        </w:pBdr>
        <w:spacing w:after="80" w:before="240"/>
      </w:pPr>
      <w:r>
        <w:rPr>
          <w:rFonts w:ascii="Arial" w:cs="Arial" w:eastAsia="Arial" w:hAnsi="Arial"/>
          <w:b/>
          <w:bCs/>
          <w:color w:val="2E86C1"/>
          <w:sz w:val="24"/>
          <w:szCs w:val="24"/>
        </w:rPr>
        <w:t xml:space="preserve">BODY-CAL-01: Body Baseline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body_baseline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Navarro (2008) Commandment #4: 'Learn idiosyncratic nonverbals — behaviours unique to specific individuals.' Commandment #2: 'Observe in context — body language is always observed within the context in which it takes place.' The 3 C's: Context, Clusters, Consistency. Without establishing a per-speaker baseline of normal body behaviour, every signal is uninterpretable. Some people naturally fidget, some naturally sit still, some are animated gesturers, some keep hands still. The baseline makes all detection relative.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per_speaker: posture_baseline, lean_baseline, fidget_baseline, self_touch_baseline, gesture_frequency_baseline, movement_energy_baseline, visible_body_percentage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During first 3-5 minutes per speaker: Collect all body feature vectors. Compute mean and std_dev for: posture_score, movement_energy, self_touch_rate, gesture_frequency. Determine visible_body_percentage (what portion of body is typically in frame for this speaker). Set body_calibration_confidence: &lt; 1 min body data → 0.3. 1-3 min → 0.6. &gt; 3 min → 0.85. All subsequent body rules operate on deviations from these baselines. Publish body_baseline to message bus for FUSION Agent weighting.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Foundation rule — modifies all other BODY rules.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 Agent: body_calibration_confidence determines weight of BODY Agent in fusion calculations. Low calibration = BODY signals are down-weighted. FACIAL Agent: correlate facial expressiveness with body expressiveness. If person is facially expressive but bodily still → they communicate primarily through face (weight FACIAL higher). If bodily expressive but facially neutral → weight BODY signals higher.</w:t>
            </w:r>
          </w:p>
        </w:tc>
      </w:tr>
    </w:tbl>
    <w:p>
      <w:r>
        <w:br w:type="page"/>
      </w:r>
    </w:p>
    <w:p>
      <w:pPr>
        <w:pStyle w:val="Heading1"/>
        <w:spacing w:after="200" w:before="360"/>
      </w:pPr>
      <w:r>
        <w:rPr>
          <w:rFonts w:ascii="Arial" w:cs="Arial" w:eastAsia="Arial" w:hAnsi="Arial"/>
          <w:b/>
          <w:bCs/>
          <w:color w:val="1B4F72"/>
          <w:sz w:val="32"/>
          <w:szCs w:val="32"/>
        </w:rPr>
        <w:t xml:space="preserve">Appendix A: Research Not Fully Accessed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Would Help</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Navarro, J. (2008). What Every Body Is Saying. HarperCollins.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Full catalogue of pacifying behaviours with FBI case examples. Ventral denial specifics. Limb-by-limb comfort/discomfort signals. Would significantly expand BODY-TOUCH-01 and BODY-POST-01.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Navarro, J. (2018). Dictionary of Body Language. HarperCollins.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900+ body language behaviours with interpretations. Would enable comprehensive gesture dictionary for BODY-GEST-01.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Pease, A. &amp; Pease, B. (2004). Definitive Book of Body Language.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Cluster rule examples with photos. Gesture-specific detection thresholds. Triple head nod research data. Would refine BODY-HEAD-01.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McNeill, D. (1992). Hand and Mind. U Chicago Press.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Complete gesture typology with cognitive science basis. Gesture-speech mismatch analysis. Would enable gesture-speech synchrony detection rules.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Mehrabian, A. (1968, 1969). Posture and attitude studies. JPSP/Psych Bulletin.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Original experimental data on lean direction and attitude correlation. Distance-posture-attitude relationship. Would provide precise lean thresholds for BODY-LEAN-01.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Ekman &amp; Friesen (1969). Repertoire of Nonverbal Behavior. Semiotica.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Complete adaptor classification system. Self-adaptor frequency norms. Would expand BODY-TOUCH-01 beyond current coverage.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Carney, Cuddy &amp; Yap (2010). Power Posing. Psych Science.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Specific expansive vs contractive posture definitions with measurements. Would provide precise posture_score thresholds.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Morris, D. (1977). Manwatching. Harry N. Abrams.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Ethological approach to gesture and posture. Cross-cultural gesture variations. Would add cultural calibration rules.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Birdwhistell, R.L. (1970). Kinesics and Context. U Penn Press.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Foundational kinesics system. Systematic body motion categories. Would provide alternative classification framework.</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Bailenson, J.N. (2021). Nonverbal Overload. Technology, Mind, and Behavior.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How video calls specifically distort body language. Webcam-specific posture norms. CRITICAL for adjusting all BODY rules for video call context.</w:t>
            </w:r>
          </w:p>
        </w:tc>
      </w:tr>
    </w:tbl>
    <w:p>
      <w:r>
        <w:br w:type="page"/>
      </w:r>
    </w:p>
    <w:p>
      <w:pPr>
        <w:pStyle w:val="Heading1"/>
        <w:spacing w:after="200" w:before="360"/>
      </w:pPr>
      <w:r>
        <w:rPr>
          <w:rFonts w:ascii="Arial" w:cs="Arial" w:eastAsia="Arial" w:hAnsi="Arial"/>
          <w:b/>
          <w:bCs/>
          <w:color w:val="1B4F72"/>
          <w:sz w:val="32"/>
          <w:szCs w:val="32"/>
        </w:rPr>
        <w:t xml:space="preserve">Appendix B: Quick Reference — All BODY Agent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ID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Base Conf.</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Key Research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BODY-POST-01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posture_score + body_openness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0.40-0.55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Mehrabian 1968, Navarro 2008, Pease 2004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BODY-HEAD-01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head_nod + head_shake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0.55-0.75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McClave 2000, Harrigan 1986, Pease 2004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BODY-LEAN-01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leaning_direction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Mehrabian 1969, Bernieri 1991, Navarro 2008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BODY-GEST-01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gesture_type + hand_visible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0.45-0.80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McNeill 1992, Ekman &amp; Friesen 1972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BODY-FIDG-01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fidget_rate + movement_energy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0.50-0.55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Mehrabian 1968, Navarro 2008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BODY-TOUCH-01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self_touch + pacifying_type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0.35-0.50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&amp; Friesen 1969, Navarro 2008/2010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BODY-MIRROR-01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body_mirroring_score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Chartrand &amp; Bargh 1999, Pentland 2008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BODY-CAL-01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body_baseline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Foundation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Navarro 2008 (3 C's framework)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NEXUS Rule Engine — BODY Agent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2026-03-14T20:53:18.259Z</dcterms:created>
  <dcterms:modified xsi:type="dcterms:W3CDTF">2026-03-14T20:53:18.260Z</dcterms:modified>
</cp:coreProperties>
</file>

<file path=docProps/custom.xml><?xml version="1.0" encoding="utf-8"?>
<Properties xmlns="http://schemas.openxmlformats.org/officeDocument/2006/custom-properties" xmlns:vt="http://schemas.openxmlformats.org/officeDocument/2006/docPropsVTypes"/>
</file>