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Segoe UI Semibold" w:hAnsi="Segoe UI Semibold"/>
          <w:b/>
          <w:color w:val="1B365D"/>
          <w:sz w:val="44"/>
        </w:rPr>
        <w:t>CIELO EPIC: ENTERPRISE AIOT PLATFORM</w:t>
      </w:r>
    </w:p>
    <w:p>
      <w:pPr>
        <w:spacing w:after="360"/>
        <w:jc w:val="center"/>
      </w:pPr>
      <w:r>
        <w:rPr>
          <w:color w:val="4A777A"/>
          <w:sz w:val="24"/>
        </w:rPr>
        <w:t>Classified Specification &amp; Multi-Track Architecture Blueprint</w:t>
      </w:r>
    </w:p>
    <w:p>
      <w:pPr>
        <w:jc w:val="center"/>
        <w:pBdr>
          <w:bottom w:val="single" w:sz="6" w:space="1" w:color="4A777A"/>
        </w:pBdr>
      </w:pPr>
    </w:p>
    <w:p>
      <w:r>
        <w:t>This blueprint serves as the comprehensive enterprise specification manual for the Cielo Epic Enterprise AloT Platform. Designed with a structured, multi-track layout, it separates technical runtime infrastructure execution from corporate governance, compliance auditing, and strategic unit economic indicators. This manual organizes the platform's 23 operational vectors into dedicated domains mapped specifically for the Engineering and Stakeholder/Investor communities.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B365D"/>
              <w:top w:val="none"/>
              <w:right w:val="none"/>
              <w:bottom w:val="none"/>
            </w:tcBorders>
          </w:tcPr>
          <w:p>
            <w:pPr>
              <w:spacing w:after="0"/>
            </w:pPr>
            <w:r>
              <w:rPr>
                <w:rFonts w:ascii="Segoe UI" w:hAnsi="Segoe UI"/>
                <w:i/>
                <w:color w:val="223344"/>
                <w:sz w:val="20"/>
              </w:rPr>
              <w:t>System Flow Mapping: High-level platform exploration propagates directly from the Cielo Epic Home Screen across the four modular product tracks before screening through the Audience Perspective Lens filter to construct targeted user views.</w:t>
            </w:r>
          </w:p>
        </w:tc>
      </w:tr>
    </w:tbl>
    <w:p/>
    <w:p>
      <w:pPr>
        <w:keepNext/>
        <w:spacing w:before="160" w:after="40"/>
      </w:pPr>
      <w:r>
        <w:rPr>
          <w:rFonts w:ascii="Segoe UI Semibold" w:hAnsi="Segoe UI Semibold"/>
          <w:b/>
          <w:color w:val="333333"/>
          <w:sz w:val="22"/>
        </w:rPr>
        <w:t>Global Navigation Architecture &amp; Lens Hierarchical Flow</w:t>
      </w:r>
    </w:p>
    <w:p>
      <w:pPr>
        <w:spacing w:before="120" w:after="120" w:line="240" w:lineRule="auto"/>
      </w:pPr>
      <w:r>
        <w:rPr>
          <w:rFonts w:ascii="Consolas" w:hAnsi="Consolas"/>
          <w:color w:val="225588"/>
          <w:sz w:val="19"/>
        </w:rPr>
        <w:t xml:space="preserve">                  [ CIELO EPIC HOME SCREEN ]</w:t>
        <w:br/>
        <w:t xml:space="preserve">                              │</w:t>
        <w:br/>
        <w:t xml:space="preserve">       ┌──────────────┬───────┴──────┬──────────────┐</w:t>
        <w:br/>
        <w:t xml:space="preserve">       ▼              ▼              ▼              ▼</w:t>
        <w:br/>
        <w:t>[CALEIDO XENIA] [CALEIDO MINTS] [CALEIDO KOMBOS] [CALEIDO DOMI]</w:t>
        <w:br/>
        <w:t xml:space="preserve">       │              │              │              │</w:t>
        <w:br/>
        <w:t xml:space="preserve">       └──────────────┴───────┬──────┴──────────────┘</w:t>
        <w:br/>
        <w:t xml:space="preserve">                              ▼</w:t>
        <w:br/>
        <w:t xml:space="preserve">              [ SELECT AUDIENCE PERSPECTIVE LENSE ]</w:t>
        <w:br/>
        <w:t xml:space="preserve">                              │</w:t>
        <w:br/>
        <w:t xml:space="preserve">              ┌───────────────┴───────────────┐</w:t>
        <w:br/>
        <w:t xml:space="preserve">              ▼                               ▼</w:t>
        <w:br/>
        <w:t xml:space="preserve">     [ A. ENGINEERING VIEW ]      [ B. STAKEHOLDER/INVESTOR VIEW ]</w:t>
      </w:r>
    </w:p>
    <w:p>
      <w:pPr>
        <w:keepNext/>
        <w:spacing w:before="360" w:after="120"/>
      </w:pPr>
      <w:r>
        <w:rPr>
          <w:rFonts w:ascii="Segoe UI Semibold" w:hAnsi="Segoe UI Semibold"/>
          <w:b/>
          <w:color w:val="1B365D"/>
          <w:sz w:val="36"/>
        </w:rPr>
        <w:t>1. Engineering Community Track (Deep Technical View)</w:t>
      </w:r>
    </w:p>
    <w:p>
      <w:r>
        <w:t>The Engineering Stack manages the raw operational boundaries and high-velocity backend pipelines of the platform, converting heterogeneous physical telemetry into isolated, low-latency enterprise datasets.</w:t>
      </w:r>
    </w:p>
    <w:p>
      <w:pPr>
        <w:keepNext/>
        <w:spacing w:before="280" w:after="80"/>
      </w:pPr>
      <w:r>
        <w:rPr>
          <w:rFonts w:ascii="Segoe UI Semibold" w:hAnsi="Segoe UI Semibold"/>
          <w:b/>
          <w:color w:val="4A777A"/>
          <w:sz w:val="26"/>
        </w:rPr>
        <w:t>1.1 Ingestion &amp; Processing Tiers</w:t>
      </w:r>
    </w:p>
    <w:p>
      <w:r>
        <w:t>The ingestion framework leverages an air-gapped broker layout designed to absorb massive hardware message scaling trends without blocking critical computational runtime layers.</w:t>
      </w:r>
    </w:p>
    <w:p>
      <w:pPr>
        <w:pStyle w:val="ListBullet"/>
        <w:spacing w:after="60" w:line="276" w:lineRule="auto"/>
      </w:pPr>
      <w:r>
        <w:rPr>
          <w:b/>
          <w:color w:val="333333"/>
        </w:rPr>
        <w:t xml:space="preserve">Multi-Protocol Mesh Input: </w:t>
      </w:r>
      <w:r>
        <w:rPr>
          <w:color w:val="333333"/>
        </w:rPr>
        <w:t>Simultaneously bridges varied building and industrial protocols by ingesting BACnet, Modbus TCP, Zigbee Mesh, and MQTT v5.0 telemetry formats.</w:t>
      </w:r>
    </w:p>
    <w:p>
      <w:pPr>
        <w:pStyle w:val="ListBullet"/>
        <w:spacing w:after="60" w:line="276" w:lineRule="auto"/>
      </w:pPr>
      <w:r>
        <w:rPr>
          <w:b/>
          <w:color w:val="333333"/>
        </w:rPr>
        <w:t xml:space="preserve">RabbitMQ Clustered Array: </w:t>
      </w:r>
      <w:r>
        <w:rPr>
          <w:color w:val="333333"/>
        </w:rPr>
        <w:t>Guarantees a 99.99% data ingestion SLA partition path. Malformed schemas or invalid format records are instantly isolated into a dedicated dead-letter queue (telemetry.dlq).</w:t>
      </w:r>
    </w:p>
    <w:p>
      <w:pPr>
        <w:pStyle w:val="ListBullet"/>
        <w:spacing w:after="60" w:line="276" w:lineRule="auto"/>
      </w:pPr>
      <w:r>
        <w:rPr>
          <w:b/>
          <w:color w:val="333333"/>
        </w:rPr>
        <w:t xml:space="preserve">CK Stream Processor Engine: </w:t>
      </w:r>
      <w:r>
        <w:rPr>
          <w:color w:val="333333"/>
        </w:rPr>
        <w:t>Performs sub-10ms structural cleansing, automated validation, and dead-band de-duplication rules to minimize downstream storage expenses.</w:t>
      </w:r>
    </w:p>
    <w:p>
      <w:pPr>
        <w:pStyle w:val="ListBullet"/>
        <w:spacing w:after="60" w:line="276" w:lineRule="auto"/>
      </w:pPr>
      <w:r>
        <w:rPr>
          <w:b/>
          <w:color w:val="333333"/>
        </w:rPr>
        <w:t xml:space="preserve">Transient Redis Active Cache: </w:t>
      </w:r>
      <w:r>
        <w:rPr>
          <w:color w:val="333333"/>
        </w:rPr>
        <w:t>Provides high-speed transient state tracking and rapid multi-tenant routing lookups across live connection points.</w:t>
      </w:r>
    </w:p>
    <w:p>
      <w:pPr>
        <w:keepNext/>
        <w:spacing w:before="280" w:after="80"/>
      </w:pPr>
      <w:r>
        <w:rPr>
          <w:rFonts w:ascii="Segoe UI Semibold" w:hAnsi="Segoe UI Semibold"/>
          <w:b/>
          <w:color w:val="4A777A"/>
          <w:sz w:val="26"/>
        </w:rPr>
        <w:t>1.2 Persistence Layer &amp; Inference Framework</w:t>
      </w:r>
    </w:p>
    <w:p>
      <w:r>
        <w:t>The data storage architecture splits telemetry tracking from master relational ledgers to support simultaneous write performance and analytical modeling loops.</w:t>
      </w:r>
    </w:p>
    <w:p>
      <w:pPr>
        <w:pStyle w:val="ListBullet"/>
        <w:spacing w:after="60" w:line="276" w:lineRule="auto"/>
      </w:pPr>
      <w:r>
        <w:rPr>
          <w:b/>
          <w:color w:val="333333"/>
        </w:rPr>
        <w:t xml:space="preserve">TimescaleDB Hypertables: </w:t>
      </w:r>
      <w:r>
        <w:rPr>
          <w:color w:val="333333"/>
        </w:rPr>
        <w:t>Saves high-velocity time-series metrics via automated chunk-partition rules to maintain linear write scalability over billions of entries.</w:t>
      </w:r>
    </w:p>
    <w:p>
      <w:pPr>
        <w:pStyle w:val="ListBullet"/>
        <w:spacing w:after="60" w:line="276" w:lineRule="auto"/>
      </w:pPr>
      <w:r>
        <w:rPr>
          <w:b/>
          <w:color w:val="333333"/>
        </w:rPr>
        <w:t xml:space="preserve">Azure SQL / PostgreSQL Master: </w:t>
      </w:r>
      <w:r>
        <w:rPr>
          <w:color w:val="333333"/>
        </w:rPr>
        <w:t>Manages transactional tenant configurations, relational client metadata tables, and primary platform index files.</w:t>
      </w:r>
    </w:p>
    <w:p>
      <w:pPr>
        <w:pStyle w:val="ListBullet"/>
        <w:spacing w:after="60" w:line="276" w:lineRule="auto"/>
      </w:pPr>
      <w:r>
        <w:rPr>
          <w:b/>
          <w:color w:val="333333"/>
        </w:rPr>
        <w:t xml:space="preserve">Parquet Cold Storage Lake: </w:t>
      </w:r>
      <w:r>
        <w:rPr>
          <w:color w:val="333333"/>
        </w:rPr>
        <w:t>Compresses historical time-series datasets into deeply archived analytical lakes for offline model checking and training adjustments.</w:t>
      </w:r>
    </w:p>
    <w:p>
      <w:pPr>
        <w:pStyle w:val="ListBullet"/>
        <w:spacing w:after="60" w:line="276" w:lineRule="auto"/>
      </w:pPr>
      <w:r>
        <w:rPr>
          <w:b/>
          <w:color w:val="333333"/>
        </w:rPr>
        <w:t xml:space="preserve">CE Predictive Inference Engine: </w:t>
      </w:r>
      <w:r>
        <w:rPr>
          <w:color w:val="333333"/>
        </w:rPr>
        <w:t>Performs active anomaly identification, localized failure window projections, and federated edge data processing loops.</w:t>
      </w:r>
    </w:p>
    <w:p>
      <w:pPr>
        <w:keepNext/>
        <w:spacing w:before="160" w:after="40"/>
      </w:pPr>
      <w:r>
        <w:rPr>
          <w:rFonts w:ascii="Segoe UI Semibold" w:hAnsi="Segoe UI Semibold"/>
          <w:b/>
          <w:color w:val="333333"/>
          <w:sz w:val="22"/>
        </w:rPr>
        <w:t>Engineering Stack Structural Breakdown &amp; Pipeline Mapping</w:t>
      </w:r>
    </w:p>
    <w:p>
      <w:pPr>
        <w:spacing w:before="120" w:after="120" w:line="240" w:lineRule="auto"/>
      </w:pPr>
      <w:r>
        <w:rPr>
          <w:rFonts w:ascii="Consolas" w:hAnsi="Consolas"/>
          <w:color w:val="225588"/>
          <w:sz w:val="19"/>
        </w:rPr>
        <w:t xml:space="preserve">                     [ 1. ENGINEERING STACK ]</w:t>
        <w:br/>
        <w:t xml:space="preserve">                                │</w:t>
        <w:br/>
        <w:t xml:space="preserve">         ┌──────────────────────┼──────────────────────┐</w:t>
        <w:br/>
        <w:t xml:space="preserve">         ▼                      ▼                      ▼</w:t>
        <w:br/>
        <w:t xml:space="preserve"> [INGESTION &amp; PROCESS]    [PERSISTENCE LAYER]    [DEVOPS &amp; SECURITY]</w:t>
        <w:br/>
        <w:t xml:space="preserve">         │                      │                      │</w:t>
        <w:br/>
        <w:t xml:space="preserve">  * Multi-Protocol Mesh   * TimescaleDB Hyper   * GitOps CI/CD Pipeline</w:t>
        <w:br/>
        <w:t xml:space="preserve">  * RabbitMQ 99.99% SLA   * Azure SQL/Postgres  * ArgoCD Rolling Deploys</w:t>
        <w:br/>
        <w:t xml:space="preserve">  * CK Stream Engine      * Parquet Cold Lake   * Prometheus/Grafana</w:t>
        <w:br/>
        <w:t xml:space="preserve">  * Redis Active Cache    * CE Inference Core   * mTLS 1.3 / RLS Guard</w:t>
      </w:r>
    </w:p>
    <w:p>
      <w:pPr>
        <w:keepNext/>
        <w:spacing w:before="280" w:after="80"/>
      </w:pPr>
      <w:r>
        <w:rPr>
          <w:rFonts w:ascii="Segoe UI Semibold" w:hAnsi="Segoe UI Semibold"/>
          <w:b/>
          <w:color w:val="4A777A"/>
          <w:sz w:val="26"/>
        </w:rPr>
        <w:t>1.3 DevOps Pipelines &amp; Infrastructure Guardrails</w:t>
      </w:r>
    </w:p>
    <w:p>
      <w:pPr>
        <w:pStyle w:val="ListBullet"/>
        <w:spacing w:after="60" w:line="276" w:lineRule="auto"/>
      </w:pPr>
      <w:r>
        <w:rPr>
          <w:b/>
          <w:color w:val="333333"/>
        </w:rPr>
        <w:t xml:space="preserve">GitOps CI/CD Toolchain: </w:t>
      </w:r>
      <w:r>
        <w:rPr>
          <w:color w:val="333333"/>
        </w:rPr>
        <w:t>Integrates GitHub, Jenkins, and Trivy automated scanners to validate container states and code dependencies before pipeline builds execution.</w:t>
      </w:r>
    </w:p>
    <w:p>
      <w:pPr>
        <w:pStyle w:val="ListBullet"/>
        <w:spacing w:after="60" w:line="276" w:lineRule="auto"/>
      </w:pPr>
      <w:r>
        <w:rPr>
          <w:b/>
          <w:color w:val="333333"/>
        </w:rPr>
        <w:t xml:space="preserve">ArgoCD Rolling Deploys: </w:t>
      </w:r>
      <w:r>
        <w:rPr>
          <w:color w:val="333333"/>
        </w:rPr>
        <w:t>Enforces strict rolling update profiles to eliminate runtime downtime across microservice cluster instances.</w:t>
      </w:r>
    </w:p>
    <w:p>
      <w:pPr>
        <w:pStyle w:val="ListBullet"/>
        <w:spacing w:after="60" w:line="276" w:lineRule="auto"/>
      </w:pPr>
      <w:r>
        <w:rPr>
          <w:b/>
          <w:color w:val="333333"/>
        </w:rPr>
        <w:t xml:space="preserve">System Telemetry Stack: </w:t>
      </w:r>
      <w:r>
        <w:rPr>
          <w:color w:val="333333"/>
        </w:rPr>
        <w:t>Maintains absolute infrastructure health visibility via Prometheus Scrapers, custom Grafana Dashboards, and aggregated OpenSearch logs.</w:t>
      </w:r>
    </w:p>
    <w:p>
      <w:pPr>
        <w:pStyle w:val="ListBullet"/>
        <w:spacing w:after="60" w:line="276" w:lineRule="auto"/>
      </w:pPr>
      <w:r>
        <w:rPr>
          <w:b/>
          <w:color w:val="333333"/>
        </w:rPr>
        <w:t xml:space="preserve">Boundary Security Guardrails: </w:t>
      </w:r>
      <w:r>
        <w:rPr>
          <w:color w:val="333333"/>
        </w:rPr>
        <w:t>Locks external edge endpoints using strict mutual TLS 1.3 (mTLS) handshakes and X.509 verification procedures.</w:t>
      </w:r>
    </w:p>
    <w:p>
      <w:pPr>
        <w:pStyle w:val="ListBullet"/>
        <w:spacing w:after="60" w:line="276" w:lineRule="auto"/>
      </w:pPr>
      <w:r>
        <w:rPr>
          <w:b/>
          <w:color w:val="333333"/>
        </w:rPr>
        <w:t xml:space="preserve">Database Row Isolation: </w:t>
      </w:r>
      <w:r>
        <w:rPr>
          <w:color w:val="333333"/>
        </w:rPr>
        <w:t>Applies PostgreSQL Row-Level Security (RLS) layers alongside zero-knowledge encryption parameters to protect multi-tenant infrastructure limits.</w:t>
      </w:r>
    </w:p>
    <w:p>
      <w:pPr>
        <w:keepNext/>
        <w:spacing w:before="160" w:after="40"/>
      </w:pPr>
      <w:r>
        <w:rPr>
          <w:rFonts w:ascii="Segoe UI Semibold" w:hAnsi="Segoe UI Semibold"/>
          <w:b/>
          <w:color w:val="333333"/>
          <w:sz w:val="22"/>
        </w:rPr>
        <w:t>Data Engineering Pipeline Reference Architecture</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120"/>
        <w:gridCol w:w="3120"/>
        <w:gridCol w:w="3120"/>
      </w:tblGrid>
      <w:tr>
        <w:tc>
          <w:tcPr>
            <w:tcW w:type="dxa" w:w="3120"/>
            <w:shd w:fill="1B365D"/>
            <w:tcMar>
              <w:top w:w="120" w:type="dxa"/>
              <w:bottom w:w="120" w:type="dxa"/>
              <w:left w:w="150" w:type="dxa"/>
              <w:right w:w="150" w:type="dxa"/>
            </w:tcMar>
          </w:tcPr>
          <w:p>
            <w:r>
              <w:rPr>
                <w:b/>
                <w:color w:val="FFFFFF"/>
              </w:rPr>
              <w:t>Pipeline Layer</w:t>
            </w:r>
          </w:p>
        </w:tc>
        <w:tc>
          <w:tcPr>
            <w:tcW w:type="dxa" w:w="3120"/>
            <w:shd w:fill="1B365D"/>
            <w:tcMar>
              <w:top w:w="120" w:type="dxa"/>
              <w:bottom w:w="120" w:type="dxa"/>
              <w:left w:w="150" w:type="dxa"/>
              <w:right w:w="150" w:type="dxa"/>
            </w:tcMar>
          </w:tcPr>
          <w:p>
            <w:r>
              <w:rPr>
                <w:b/>
                <w:color w:val="FFFFFF"/>
              </w:rPr>
              <w:t>Component / Technology</w:t>
            </w:r>
          </w:p>
        </w:tc>
        <w:tc>
          <w:tcPr>
            <w:tcW w:type="dxa" w:w="3120"/>
            <w:shd w:fill="1B365D"/>
            <w:tcMar>
              <w:top w:w="120" w:type="dxa"/>
              <w:bottom w:w="120" w:type="dxa"/>
              <w:left w:w="150" w:type="dxa"/>
              <w:right w:w="150" w:type="dxa"/>
            </w:tcMar>
          </w:tcPr>
          <w:p>
            <w:r>
              <w:rPr>
                <w:b/>
                <w:color w:val="FFFFFF"/>
              </w:rPr>
              <w:t>Core Architecture Operational Function</w:t>
            </w:r>
          </w:p>
        </w:tc>
      </w:tr>
      <w:tr>
        <w:tc>
          <w:tcPr>
            <w:tcW w:type="dxa" w:w="3120"/>
            <w:tcMar>
              <w:top w:w="100" w:type="dxa"/>
              <w:bottom w:w="100" w:type="dxa"/>
              <w:left w:w="150" w:type="dxa"/>
              <w:right w:w="150" w:type="dxa"/>
            </w:tcMar>
          </w:tcPr>
          <w:p>
            <w:r>
              <w:t>Telemetry Ingestion</w:t>
            </w:r>
          </w:p>
        </w:tc>
        <w:tc>
          <w:tcPr>
            <w:tcW w:type="dxa" w:w="3120"/>
            <w:tcMar>
              <w:top w:w="100" w:type="dxa"/>
              <w:bottom w:w="100" w:type="dxa"/>
              <w:left w:w="150" w:type="dxa"/>
              <w:right w:w="150" w:type="dxa"/>
            </w:tcMar>
          </w:tcPr>
          <w:p>
            <w:r>
              <w:t>BACnet, Modbus, Zigbee, MQTT</w:t>
            </w:r>
          </w:p>
        </w:tc>
        <w:tc>
          <w:tcPr>
            <w:tcW w:type="dxa" w:w="3120"/>
            <w:tcMar>
              <w:top w:w="100" w:type="dxa"/>
              <w:bottom w:w="100" w:type="dxa"/>
              <w:left w:w="150" w:type="dxa"/>
              <w:right w:w="150" w:type="dxa"/>
            </w:tcMar>
          </w:tcPr>
          <w:p>
            <w:r>
              <w:t>Handles multi-protocol hardware inputs via field hardware node arrays.</w:t>
            </w:r>
          </w:p>
        </w:tc>
      </w:tr>
      <w:tr>
        <w:tc>
          <w:tcPr>
            <w:tcW w:type="dxa" w:w="3120"/>
            <w:shd w:fill="F9FBFC"/>
            <w:tcMar>
              <w:top w:w="100" w:type="dxa"/>
              <w:bottom w:w="100" w:type="dxa"/>
              <w:left w:w="150" w:type="dxa"/>
              <w:right w:w="150" w:type="dxa"/>
            </w:tcMar>
          </w:tcPr>
          <w:p>
            <w:r>
              <w:t>Broker &amp; Queue</w:t>
            </w:r>
          </w:p>
        </w:tc>
        <w:tc>
          <w:tcPr>
            <w:tcW w:type="dxa" w:w="3120"/>
            <w:shd w:fill="F9FBFC"/>
            <w:tcMar>
              <w:top w:w="100" w:type="dxa"/>
              <w:bottom w:w="100" w:type="dxa"/>
              <w:left w:w="150" w:type="dxa"/>
              <w:right w:w="150" w:type="dxa"/>
            </w:tcMar>
          </w:tcPr>
          <w:p>
            <w:r>
              <w:t>RabbitMQ Cluster Array (99.99% SLA)</w:t>
            </w:r>
          </w:p>
        </w:tc>
        <w:tc>
          <w:tcPr>
            <w:tcW w:type="dxa" w:w="3120"/>
            <w:shd w:fill="F9FBFC"/>
            <w:tcMar>
              <w:top w:w="100" w:type="dxa"/>
              <w:bottom w:w="100" w:type="dxa"/>
              <w:left w:w="150" w:type="dxa"/>
              <w:right w:w="150" w:type="dxa"/>
            </w:tcMar>
          </w:tcPr>
          <w:p>
            <w:r>
              <w:t>Verifies valid AMQP partitions; reroutes malformed fields to telemetry.dlq.</w:t>
            </w:r>
          </w:p>
        </w:tc>
      </w:tr>
      <w:tr>
        <w:tc>
          <w:tcPr>
            <w:tcW w:type="dxa" w:w="3120"/>
            <w:tcMar>
              <w:top w:w="100" w:type="dxa"/>
              <w:bottom w:w="100" w:type="dxa"/>
              <w:left w:w="150" w:type="dxa"/>
              <w:right w:w="150" w:type="dxa"/>
            </w:tcMar>
          </w:tcPr>
          <w:p>
            <w:r>
              <w:t>Stream Processing</w:t>
            </w:r>
          </w:p>
        </w:tc>
        <w:tc>
          <w:tcPr>
            <w:tcW w:type="dxa" w:w="3120"/>
            <w:tcMar>
              <w:top w:w="100" w:type="dxa"/>
              <w:bottom w:w="100" w:type="dxa"/>
              <w:left w:w="150" w:type="dxa"/>
              <w:right w:w="150" w:type="dxa"/>
            </w:tcMar>
          </w:tcPr>
          <w:p>
            <w:r>
              <w:t>CK Stream Engine &amp; Redis Cache</w:t>
            </w:r>
          </w:p>
        </w:tc>
        <w:tc>
          <w:tcPr>
            <w:tcW w:type="dxa" w:w="3120"/>
            <w:tcMar>
              <w:top w:w="100" w:type="dxa"/>
              <w:bottom w:w="100" w:type="dxa"/>
              <w:left w:w="150" w:type="dxa"/>
              <w:right w:w="150" w:type="dxa"/>
            </w:tcMar>
          </w:tcPr>
          <w:p>
            <w:r>
              <w:t>Executes sub-10ms data cleansing, dead-band de-duplication, &amp; routing.</w:t>
            </w:r>
          </w:p>
        </w:tc>
      </w:tr>
      <w:tr>
        <w:tc>
          <w:tcPr>
            <w:tcW w:type="dxa" w:w="3120"/>
            <w:shd w:fill="F9FBFC"/>
            <w:tcMar>
              <w:top w:w="100" w:type="dxa"/>
              <w:bottom w:w="100" w:type="dxa"/>
              <w:left w:w="150" w:type="dxa"/>
              <w:right w:w="150" w:type="dxa"/>
            </w:tcMar>
          </w:tcPr>
          <w:p>
            <w:r>
              <w:t>Data Persistence</w:t>
            </w:r>
          </w:p>
        </w:tc>
        <w:tc>
          <w:tcPr>
            <w:tcW w:type="dxa" w:w="3120"/>
            <w:shd w:fill="F9FBFC"/>
            <w:tcMar>
              <w:top w:w="100" w:type="dxa"/>
              <w:bottom w:w="100" w:type="dxa"/>
              <w:left w:w="150" w:type="dxa"/>
              <w:right w:w="150" w:type="dxa"/>
            </w:tcMar>
          </w:tcPr>
          <w:p>
            <w:r>
              <w:t>TimescaleDB, Azure SQL, Parquet</w:t>
            </w:r>
          </w:p>
        </w:tc>
        <w:tc>
          <w:tcPr>
            <w:tcW w:type="dxa" w:w="3120"/>
            <w:shd w:fill="F9FBFC"/>
            <w:tcMar>
              <w:top w:w="100" w:type="dxa"/>
              <w:bottom w:w="100" w:type="dxa"/>
              <w:left w:w="150" w:type="dxa"/>
              <w:right w:w="150" w:type="dxa"/>
            </w:tcMar>
          </w:tcPr>
          <w:p>
            <w:r>
              <w:t>Partitions time-series metrics while keeping core ledger changes in relational DB.</w:t>
            </w:r>
          </w:p>
        </w:tc>
      </w:tr>
      <w:tr>
        <w:tc>
          <w:tcPr>
            <w:tcW w:type="dxa" w:w="3120"/>
            <w:tcMar>
              <w:top w:w="100" w:type="dxa"/>
              <w:bottom w:w="100" w:type="dxa"/>
              <w:left w:w="150" w:type="dxa"/>
              <w:right w:w="150" w:type="dxa"/>
            </w:tcMar>
          </w:tcPr>
          <w:p>
            <w:r>
              <w:t>Delivery Gateway</w:t>
            </w:r>
          </w:p>
        </w:tc>
        <w:tc>
          <w:tcPr>
            <w:tcW w:type="dxa" w:w="3120"/>
            <w:tcMar>
              <w:top w:w="100" w:type="dxa"/>
              <w:bottom w:w="100" w:type="dxa"/>
              <w:left w:w="150" w:type="dxa"/>
              <w:right w:w="150" w:type="dxa"/>
            </w:tcMar>
          </w:tcPr>
          <w:p>
            <w:r>
              <w:t>Envoy Proxy, GraphQL &amp; REST APIs</w:t>
            </w:r>
          </w:p>
        </w:tc>
        <w:tc>
          <w:tcPr>
            <w:tcW w:type="dxa" w:w="3120"/>
            <w:tcMar>
              <w:top w:w="100" w:type="dxa"/>
              <w:bottom w:w="100" w:type="dxa"/>
              <w:left w:w="150" w:type="dxa"/>
              <w:right w:w="150" w:type="dxa"/>
            </w:tcMar>
          </w:tcPr>
          <w:p>
            <w:r>
              <w:t>Provides secure, single-point API access mapping to Next.js dashboards.</w:t>
            </w:r>
          </w:p>
        </w:tc>
      </w:tr>
    </w:tbl>
    <w:p/>
    <w:p>
      <w:pPr>
        <w:keepNext/>
        <w:spacing w:before="360" w:after="120"/>
      </w:pPr>
      <w:r>
        <w:rPr>
          <w:rFonts w:ascii="Segoe UI Semibold" w:hAnsi="Segoe UI Semibold"/>
          <w:b/>
          <w:color w:val="1B365D"/>
          <w:sz w:val="36"/>
        </w:rPr>
        <w:t>2. Stakeholder &amp; Investor Track (Corporate &amp; Commercial View)</w:t>
      </w:r>
    </w:p>
    <w:p>
      <w:r>
        <w:t>The Stakeholder Stack translates live operational measurements into auditable enterprise governance logs, carbon accounting statements, and optimized financial asset valuation tracks.</w:t>
      </w:r>
    </w:p>
    <w:p>
      <w:pPr>
        <w:keepNext/>
        <w:spacing w:before="280" w:after="80"/>
      </w:pPr>
      <w:r>
        <w:rPr>
          <w:rFonts w:ascii="Segoe UI Semibold" w:hAnsi="Segoe UI Semibold"/>
          <w:b/>
          <w:color w:val="4A777A"/>
          <w:sz w:val="26"/>
        </w:rPr>
        <w:t>2.1 Corporate Governance &amp; Auditing</w:t>
      </w:r>
    </w:p>
    <w:p>
      <w:pPr>
        <w:pStyle w:val="ListBullet"/>
        <w:spacing w:after="60" w:line="276" w:lineRule="auto"/>
      </w:pPr>
      <w:r>
        <w:rPr>
          <w:b/>
          <w:color w:val="333333"/>
        </w:rPr>
        <w:t xml:space="preserve">Granular Role Configuration: </w:t>
      </w:r>
      <w:r>
        <w:rPr>
          <w:color w:val="333333"/>
        </w:rPr>
        <w:t>Builds dedicated corporate visibility boundaries: Board of Directors reviews global optimization metrics; Tenant Admins govern local asset networks; System Admins balance master platform nodes.</w:t>
      </w:r>
    </w:p>
    <w:p>
      <w:pPr>
        <w:pStyle w:val="ListBullet"/>
        <w:spacing w:after="60" w:line="276" w:lineRule="auto"/>
      </w:pPr>
      <w:r>
        <w:rPr>
          <w:b/>
          <w:color w:val="333333"/>
        </w:rPr>
        <w:t xml:space="preserve">OIDC Authorization Loops: </w:t>
      </w:r>
      <w:r>
        <w:rPr>
          <w:color w:val="333333"/>
        </w:rPr>
        <w:t>Validates administrative console commands via continuous OAuth2 / JWT identity verification tracks.</w:t>
      </w:r>
    </w:p>
    <w:p>
      <w:pPr>
        <w:pStyle w:val="ListBullet"/>
        <w:spacing w:after="60" w:line="276" w:lineRule="auto"/>
      </w:pPr>
      <w:r>
        <w:rPr>
          <w:b/>
          <w:color w:val="333333"/>
        </w:rPr>
        <w:t xml:space="preserve">Continuous Compliance Mapping: </w:t>
      </w:r>
      <w:r>
        <w:rPr>
          <w:color w:val="333333"/>
        </w:rPr>
        <w:t>Monitors active operational status against SOC 2 Type II validation testing matrices and ISO 27001 structural baselines.</w:t>
      </w:r>
    </w:p>
    <w:p>
      <w:pPr>
        <w:pStyle w:val="ListBullet"/>
        <w:spacing w:after="60" w:line="276" w:lineRule="auto"/>
      </w:pPr>
      <w:r>
        <w:rPr>
          <w:b/>
          <w:color w:val="333333"/>
        </w:rPr>
        <w:t xml:space="preserve">Immutable Security Audit Trail: </w:t>
      </w:r>
      <w:r>
        <w:rPr>
          <w:color w:val="333333"/>
        </w:rPr>
        <w:t>Registers every backend system configuration shift or device deployment change directly into a ledger-backed unalterable security log.</w:t>
      </w:r>
    </w:p>
    <w:p>
      <w:pPr>
        <w:keepNext/>
        <w:spacing w:before="160" w:after="40"/>
      </w:pPr>
      <w:r>
        <w:rPr>
          <w:rFonts w:ascii="Segoe UI Semibold" w:hAnsi="Segoe UI Semibold"/>
          <w:b/>
          <w:color w:val="333333"/>
          <w:sz w:val="22"/>
        </w:rPr>
        <w:t>Stakeholder Stack Governance &amp; Economic Hierarchy</w:t>
      </w:r>
    </w:p>
    <w:p>
      <w:pPr>
        <w:spacing w:before="120" w:after="120" w:line="240" w:lineRule="auto"/>
      </w:pPr>
      <w:r>
        <w:rPr>
          <w:rFonts w:ascii="Consolas" w:hAnsi="Consolas"/>
          <w:color w:val="225588"/>
          <w:sz w:val="19"/>
        </w:rPr>
        <w:t xml:space="preserve">                    [ 2. STAKEHOLDER STACK ]</w:t>
        <w:br/>
        <w:t xml:space="preserve">                                │</w:t>
        <w:br/>
        <w:t xml:space="preserve">        ┌───────────────────────┼───────────────────────┐</w:t>
        <w:br/>
        <w:t xml:space="preserve">        ▼                       ▼                       ▼</w:t>
        <w:br/>
        <w:t xml:space="preserve"> [CORP GOVERNANCE]      [SUSTAINABILITY/ESG]     [COMMERCIAL UNITS]</w:t>
        <w:br/>
        <w:t xml:space="preserve">        │                       │                       │</w:t>
        <w:br/>
        <w:t xml:space="preserve"> * OIDC Identity Loops   * Carbon Accounting     * Segment Pricing Models</w:t>
        <w:br/>
        <w:t xml:space="preserve"> * Board / Admin Views   * Grid Mix Integration  * Payback Lifecycles</w:t>
        <w:br/>
        <w:t xml:space="preserve"> * SOC 2 Type II Matrix  * Scope 1 &amp; 2 Disclose  * 3-Step Valuation Moat</w:t>
        <w:br/>
        <w:t xml:space="preserve"> * ISO 27001 Tracking    * High-Avail Fallback   * ESG Property Premium</w:t>
      </w:r>
    </w:p>
    <w:p>
      <w:pPr>
        <w:keepNext/>
        <w:spacing w:before="280" w:after="80"/>
      </w:pPr>
      <w:r>
        <w:rPr>
          <w:rFonts w:ascii="Segoe UI Semibold" w:hAnsi="Segoe UI Semibold"/>
          <w:b/>
          <w:color w:val="4A777A"/>
          <w:sz w:val="26"/>
        </w:rPr>
        <w:t>2.2 Sustainability Accounting &amp; ESG Reporting</w:t>
      </w:r>
    </w:p>
    <w:p>
      <w:r>
        <w:t>The system establishes direct database-to-disclosure connectivity, replacing manual utility tracking files with an automated, investor-ready compliance ecosystem.</w:t>
      </w:r>
    </w:p>
    <w:p>
      <w:pPr>
        <w:pStyle w:val="ListBullet"/>
        <w:spacing w:after="60" w:line="276" w:lineRule="auto"/>
      </w:pPr>
      <w:r>
        <w:rPr>
          <w:b/>
          <w:color w:val="333333"/>
        </w:rPr>
        <w:t xml:space="preserve">Automated Carbon Accounting: </w:t>
      </w:r>
      <w:r>
        <w:rPr>
          <w:color w:val="333333"/>
        </w:rPr>
        <w:t>Pulls active runtime energy consumption metrics directly from primary time-series tables to process automated carbon conversions.</w:t>
      </w:r>
    </w:p>
    <w:p>
      <w:pPr>
        <w:pStyle w:val="ListBullet"/>
        <w:spacing w:after="60" w:line="276" w:lineRule="auto"/>
      </w:pPr>
      <w:r>
        <w:rPr>
          <w:b/>
          <w:color w:val="333333"/>
        </w:rPr>
        <w:t xml:space="preserve">Grid Fuel-Mix Integration: </w:t>
      </w:r>
      <w:r>
        <w:rPr>
          <w:color w:val="333333"/>
        </w:rPr>
        <w:t>Injects localized hourly utility fuel-mix variables to ensure regional emission calculations are mathematically precise.</w:t>
      </w:r>
    </w:p>
    <w:p>
      <w:pPr>
        <w:pStyle w:val="ListBullet"/>
        <w:spacing w:after="60" w:line="276" w:lineRule="auto"/>
      </w:pPr>
      <w:r>
        <w:rPr>
          <w:b/>
          <w:color w:val="333333"/>
        </w:rPr>
        <w:t xml:space="preserve">Certified ESG Output: </w:t>
      </w:r>
      <w:r>
        <w:rPr>
          <w:color w:val="333333"/>
        </w:rPr>
        <w:t>Generates audit-ready Scope 1 and Scope 2 emission statement summaries tailored for immediate investor overview.</w:t>
      </w:r>
    </w:p>
    <w:p>
      <w:pPr>
        <w:pStyle w:val="ListBullet"/>
        <w:spacing w:after="60" w:line="276" w:lineRule="auto"/>
      </w:pPr>
      <w:r>
        <w:rPr>
          <w:b/>
          <w:color w:val="333333"/>
        </w:rPr>
        <w:t xml:space="preserve">Risk Management Fallbacks: </w:t>
      </w:r>
      <w:r>
        <w:rPr>
          <w:color w:val="333333"/>
        </w:rPr>
        <w:t>Maintains continuous automated fallback loops and runs routine disaster recovery simulation tests to guarantee target uptime.</w:t>
      </w:r>
    </w:p>
    <w:p>
      <w:pPr>
        <w:keepNext/>
        <w:spacing w:before="280" w:after="80"/>
      </w:pPr>
      <w:r>
        <w:rPr>
          <w:rFonts w:ascii="Segoe UI Semibold" w:hAnsi="Segoe UI Semibold"/>
          <w:b/>
          <w:color w:val="4A777A"/>
          <w:sz w:val="26"/>
        </w:rPr>
        <w:t>2.3 Commercial Units &amp; Portfolio Valuation Moats</w:t>
      </w:r>
    </w:p>
    <w:p>
      <w:r>
        <w:t>Cielo Epic maps platform installations to predictable unit economics, moving asset targets from single-margin hardware lines to recurring multi-tier software multipliers.</w:t>
      </w:r>
    </w:p>
    <w:p>
      <w:pPr>
        <w:pStyle w:val="ListBullet"/>
        <w:spacing w:after="60" w:line="276" w:lineRule="auto"/>
      </w:pPr>
      <w:r>
        <w:rPr>
          <w:b/>
          <w:color w:val="333333"/>
        </w:rPr>
        <w:t xml:space="preserve">Segment Pricing Matrices: </w:t>
      </w:r>
      <w:r>
        <w:rPr>
          <w:color w:val="333333"/>
        </w:rPr>
        <w:t>Deploys targeted economics across asset classes: Hospitality ($1,200/room/yr for vacancy control), Commercial ($1,500/floor/yr for HVAC optimization), Residential ($800/unit/yr for leak detection), and Data Centers ($2,000/rack/yr for precision IT cooling).</w:t>
      </w:r>
    </w:p>
    <w:p>
      <w:pPr>
        <w:pStyle w:val="ListBullet"/>
        <w:spacing w:after="60" w:line="276" w:lineRule="auto"/>
      </w:pPr>
      <w:r>
        <w:rPr>
          <w:b/>
          <w:color w:val="333333"/>
        </w:rPr>
        <w:t xml:space="preserve">Payback Lifecycle Tiers: </w:t>
      </w:r>
      <w:r>
        <w:rPr>
          <w:color w:val="333333"/>
        </w:rPr>
        <w:t>Structures target clients by velocity: 'Whales' (Data Centers: high upfront CAC, rapid 8-month payback, 12x LTV/CAC yield); 'Stars' (Hospitality: balanced CAC, 14-month break-even); 'Seeds' (Residential: low acquisition friction, 18-month threshold).</w:t>
      </w:r>
    </w:p>
    <w:p>
      <w:pPr>
        <w:pStyle w:val="ListBullet"/>
        <w:spacing w:after="60" w:line="276" w:lineRule="auto"/>
      </w:pPr>
      <w:r>
        <w:rPr>
          <w:b/>
          <w:color w:val="333333"/>
        </w:rPr>
        <w:t xml:space="preserve">The Three-Step Valuation Moat: </w:t>
      </w:r>
      <w:r>
        <w:rPr>
          <w:color w:val="333333"/>
        </w:rPr>
        <w:t>Drives structural compounding value: Step 1 establishes standard infrastructure connectivity (3-5x multiplier); Step 2 adds deep AI cost-reduction layers (5-10x step); Step 3 unlocks high-margin recurring SaaS compliance platform subscriptions (8-12x step).</w:t>
      </w:r>
    </w:p>
    <w:p>
      <w:pPr>
        <w:pStyle w:val="ListBullet"/>
        <w:spacing w:after="60" w:line="276" w:lineRule="auto"/>
      </w:pPr>
      <w:r>
        <w:rPr>
          <w:b/>
          <w:color w:val="333333"/>
        </w:rPr>
        <w:t xml:space="preserve">Strategic ESG Appraisal Upgrades: </w:t>
      </w:r>
      <w:r>
        <w:rPr>
          <w:color w:val="333333"/>
        </w:rPr>
        <w:t>Capitalizes on certified emission records to secure verified real estate valuation premiums during commercial asset marketplace appraisals.</w:t>
      </w:r>
    </w:p>
    <w:p>
      <w:pPr>
        <w:keepNext/>
        <w:spacing w:before="160" w:after="40"/>
      </w:pPr>
      <w:r>
        <w:rPr>
          <w:rFonts w:ascii="Segoe UI Semibold" w:hAnsi="Segoe UI Semibold"/>
          <w:b/>
          <w:color w:val="333333"/>
          <w:sz w:val="22"/>
        </w:rPr>
        <w:t>Target Market Unit Economics &amp; Financial Lifecycle Matrix</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340"/>
        <w:gridCol w:w="2340"/>
        <w:gridCol w:w="2340"/>
        <w:gridCol w:w="2340"/>
      </w:tblGrid>
      <w:tr>
        <w:tc>
          <w:tcPr>
            <w:tcW w:type="dxa" w:w="2340"/>
            <w:shd w:fill="4A777A"/>
            <w:tcMar>
              <w:top w:w="120" w:type="dxa"/>
              <w:bottom w:w="120" w:type="dxa"/>
              <w:left w:w="150" w:type="dxa"/>
              <w:right w:w="150" w:type="dxa"/>
            </w:tcMar>
          </w:tcPr>
          <w:p>
            <w:r>
              <w:rPr>
                <w:b/>
                <w:color w:val="FFFFFF"/>
              </w:rPr>
              <w:t>Segment Tier</w:t>
            </w:r>
          </w:p>
        </w:tc>
        <w:tc>
          <w:tcPr>
            <w:tcW w:type="dxa" w:w="2340"/>
            <w:shd w:fill="4A777A"/>
            <w:tcMar>
              <w:top w:w="120" w:type="dxa"/>
              <w:bottom w:w="120" w:type="dxa"/>
              <w:left w:w="150" w:type="dxa"/>
              <w:right w:w="150" w:type="dxa"/>
            </w:tcMar>
          </w:tcPr>
          <w:p>
            <w:r>
              <w:rPr>
                <w:b/>
                <w:color w:val="FFFFFF"/>
              </w:rPr>
              <w:t>Unit Economic Model</w:t>
            </w:r>
          </w:p>
        </w:tc>
        <w:tc>
          <w:tcPr>
            <w:tcW w:type="dxa" w:w="2340"/>
            <w:shd w:fill="4A777A"/>
            <w:tcMar>
              <w:top w:w="120" w:type="dxa"/>
              <w:bottom w:w="120" w:type="dxa"/>
              <w:left w:w="150" w:type="dxa"/>
              <w:right w:w="150" w:type="dxa"/>
            </w:tcMar>
          </w:tcPr>
          <w:p>
            <w:r>
              <w:rPr>
                <w:b/>
                <w:color w:val="FFFFFF"/>
              </w:rPr>
              <w:t>Primary Value Proposition</w:t>
            </w:r>
          </w:p>
        </w:tc>
        <w:tc>
          <w:tcPr>
            <w:tcW w:type="dxa" w:w="2340"/>
            <w:shd w:fill="4A777A"/>
            <w:tcMar>
              <w:top w:w="120" w:type="dxa"/>
              <w:bottom w:w="120" w:type="dxa"/>
              <w:left w:w="150" w:type="dxa"/>
              <w:right w:w="150" w:type="dxa"/>
            </w:tcMar>
          </w:tcPr>
          <w:p>
            <w:r>
              <w:rPr>
                <w:b/>
                <w:color w:val="FFFFFF"/>
              </w:rPr>
              <w:t>Payback Lifecycle Profile</w:t>
            </w:r>
          </w:p>
        </w:tc>
      </w:tr>
      <w:tr>
        <w:tc>
          <w:tcPr>
            <w:tcW w:type="dxa" w:w="2340"/>
            <w:tcMar>
              <w:top w:w="100" w:type="dxa"/>
              <w:bottom w:w="100" w:type="dxa"/>
              <w:left w:w="150" w:type="dxa"/>
              <w:right w:w="150" w:type="dxa"/>
            </w:tcMar>
          </w:tcPr>
          <w:p>
            <w:r>
              <w:t>Whales (Data Centers)</w:t>
            </w:r>
          </w:p>
        </w:tc>
        <w:tc>
          <w:tcPr>
            <w:tcW w:type="dxa" w:w="2340"/>
            <w:tcMar>
              <w:top w:w="100" w:type="dxa"/>
              <w:bottom w:w="100" w:type="dxa"/>
              <w:left w:w="150" w:type="dxa"/>
              <w:right w:w="150" w:type="dxa"/>
            </w:tcMar>
          </w:tcPr>
          <w:p>
            <w:r>
              <w:t>$2,000 / Rack / Year</w:t>
            </w:r>
          </w:p>
        </w:tc>
        <w:tc>
          <w:tcPr>
            <w:tcW w:type="dxa" w:w="2340"/>
            <w:tcMar>
              <w:top w:w="100" w:type="dxa"/>
              <w:bottom w:w="100" w:type="dxa"/>
              <w:left w:w="150" w:type="dxa"/>
              <w:right w:w="150" w:type="dxa"/>
            </w:tcMar>
          </w:tcPr>
          <w:p>
            <w:r>
              <w:t>Precision IT cooling &amp; load-shifting.</w:t>
            </w:r>
          </w:p>
        </w:tc>
        <w:tc>
          <w:tcPr>
            <w:tcW w:type="dxa" w:w="2340"/>
            <w:tcMar>
              <w:top w:w="100" w:type="dxa"/>
              <w:bottom w:w="100" w:type="dxa"/>
              <w:left w:w="150" w:type="dxa"/>
              <w:right w:w="150" w:type="dxa"/>
            </w:tcMar>
          </w:tcPr>
          <w:p>
            <w:r>
              <w:t>High CAC | Fast 8-Mo Break-Even | 12x LTV/CAC</w:t>
            </w:r>
          </w:p>
        </w:tc>
      </w:tr>
      <w:tr>
        <w:tc>
          <w:tcPr>
            <w:tcW w:type="dxa" w:w="2340"/>
            <w:shd w:fill="F5F7F7"/>
            <w:tcMar>
              <w:top w:w="100" w:type="dxa"/>
              <w:bottom w:w="100" w:type="dxa"/>
              <w:left w:w="150" w:type="dxa"/>
              <w:right w:w="150" w:type="dxa"/>
            </w:tcMar>
          </w:tcPr>
          <w:p>
            <w:r>
              <w:t>Stars (Hospitality)</w:t>
            </w:r>
          </w:p>
        </w:tc>
        <w:tc>
          <w:tcPr>
            <w:tcW w:type="dxa" w:w="2340"/>
            <w:shd w:fill="F5F7F7"/>
            <w:tcMar>
              <w:top w:w="100" w:type="dxa"/>
              <w:bottom w:w="100" w:type="dxa"/>
              <w:left w:w="150" w:type="dxa"/>
              <w:right w:w="150" w:type="dxa"/>
            </w:tcMar>
          </w:tcPr>
          <w:p>
            <w:r>
              <w:t>$1,200 / Room / Year</w:t>
            </w:r>
          </w:p>
        </w:tc>
        <w:tc>
          <w:tcPr>
            <w:tcW w:type="dxa" w:w="2340"/>
            <w:shd w:fill="F5F7F7"/>
            <w:tcMar>
              <w:top w:w="100" w:type="dxa"/>
              <w:bottom w:w="100" w:type="dxa"/>
              <w:left w:w="150" w:type="dxa"/>
              <w:right w:w="150" w:type="dxa"/>
            </w:tcMar>
          </w:tcPr>
          <w:p>
            <w:r>
              <w:t>Vacant space climate mitigation.</w:t>
            </w:r>
          </w:p>
        </w:tc>
        <w:tc>
          <w:tcPr>
            <w:tcW w:type="dxa" w:w="2340"/>
            <w:shd w:fill="F5F7F7"/>
            <w:tcMar>
              <w:top w:w="100" w:type="dxa"/>
              <w:bottom w:w="100" w:type="dxa"/>
              <w:left w:w="150" w:type="dxa"/>
              <w:right w:w="150" w:type="dxa"/>
            </w:tcMar>
          </w:tcPr>
          <w:p>
            <w:r>
              <w:t>Balanced CAC | 14-Mo Break-Even | Scalable Rollout</w:t>
            </w:r>
          </w:p>
        </w:tc>
      </w:tr>
      <w:tr>
        <w:tc>
          <w:tcPr>
            <w:tcW w:type="dxa" w:w="2340"/>
            <w:tcMar>
              <w:top w:w="100" w:type="dxa"/>
              <w:bottom w:w="100" w:type="dxa"/>
              <w:left w:w="150" w:type="dxa"/>
              <w:right w:w="150" w:type="dxa"/>
            </w:tcMar>
          </w:tcPr>
          <w:p>
            <w:r>
              <w:t>Seeds (Residential)</w:t>
            </w:r>
          </w:p>
        </w:tc>
        <w:tc>
          <w:tcPr>
            <w:tcW w:type="dxa" w:w="2340"/>
            <w:tcMar>
              <w:top w:w="100" w:type="dxa"/>
              <w:bottom w:w="100" w:type="dxa"/>
              <w:left w:w="150" w:type="dxa"/>
              <w:right w:w="150" w:type="dxa"/>
            </w:tcMar>
          </w:tcPr>
          <w:p>
            <w:r>
              <w:t>$800 / Unit / Year</w:t>
            </w:r>
          </w:p>
        </w:tc>
        <w:tc>
          <w:tcPr>
            <w:tcW w:type="dxa" w:w="2340"/>
            <w:tcMar>
              <w:top w:w="100" w:type="dxa"/>
              <w:bottom w:w="100" w:type="dxa"/>
              <w:left w:w="150" w:type="dxa"/>
              <w:right w:w="150" w:type="dxa"/>
            </w:tcMar>
          </w:tcPr>
          <w:p>
            <w:r>
              <w:t>Early leak identification &amp; safety.</w:t>
            </w:r>
          </w:p>
        </w:tc>
        <w:tc>
          <w:tcPr>
            <w:tcW w:type="dxa" w:w="2340"/>
            <w:tcMar>
              <w:top w:w="100" w:type="dxa"/>
              <w:bottom w:w="100" w:type="dxa"/>
              <w:left w:w="150" w:type="dxa"/>
              <w:right w:w="150" w:type="dxa"/>
            </w:tcMar>
          </w:tcPr>
          <w:p>
            <w:r>
              <w:t>Low CAC | 18-Mo Threshold | Long-Tail Volume</w:t>
            </w:r>
          </w:p>
        </w:tc>
      </w:tr>
      <w:tr>
        <w:tc>
          <w:tcPr>
            <w:tcW w:type="dxa" w:w="2340"/>
            <w:shd w:fill="F5F7F7"/>
            <w:tcMar>
              <w:top w:w="100" w:type="dxa"/>
              <w:bottom w:w="100" w:type="dxa"/>
              <w:left w:w="150" w:type="dxa"/>
              <w:right w:w="150" w:type="dxa"/>
            </w:tcMar>
          </w:tcPr>
          <w:p>
            <w:r>
              <w:t>Commercial Portfolio</w:t>
            </w:r>
          </w:p>
        </w:tc>
        <w:tc>
          <w:tcPr>
            <w:tcW w:type="dxa" w:w="2340"/>
            <w:shd w:fill="F5F7F7"/>
            <w:tcMar>
              <w:top w:w="100" w:type="dxa"/>
              <w:bottom w:w="100" w:type="dxa"/>
              <w:left w:w="150" w:type="dxa"/>
              <w:right w:w="150" w:type="dxa"/>
            </w:tcMar>
          </w:tcPr>
          <w:p>
            <w:r>
              <w:t>$1,500 / Floor / Year</w:t>
            </w:r>
          </w:p>
        </w:tc>
        <w:tc>
          <w:tcPr>
            <w:tcW w:type="dxa" w:w="2340"/>
            <w:shd w:fill="F5F7F7"/>
            <w:tcMar>
              <w:top w:w="100" w:type="dxa"/>
              <w:bottom w:w="100" w:type="dxa"/>
              <w:left w:w="150" w:type="dxa"/>
              <w:right w:w="150" w:type="dxa"/>
            </w:tcMar>
          </w:tcPr>
          <w:p>
            <w:r>
              <w:t>Real-time occupancy HVAC control.</w:t>
            </w:r>
          </w:p>
        </w:tc>
        <w:tc>
          <w:tcPr>
            <w:tcW w:type="dxa" w:w="2340"/>
            <w:shd w:fill="F5F7F7"/>
            <w:tcMar>
              <w:top w:w="100" w:type="dxa"/>
              <w:bottom w:w="100" w:type="dxa"/>
              <w:left w:w="150" w:type="dxa"/>
              <w:right w:w="150" w:type="dxa"/>
            </w:tcMar>
          </w:tcPr>
          <w:p>
            <w:r>
              <w:t>Strategic Enterprise Account Footprint Expansion</w:t>
            </w:r>
          </w:p>
        </w:tc>
      </w:tr>
    </w:tbl>
    <w:p/>
    <w:p>
      <w:pPr>
        <w:keepNext/>
        <w:spacing w:before="280" w:after="80"/>
      </w:pPr>
      <w:r>
        <w:rPr>
          <w:rFonts w:ascii="Segoe UI Semibold" w:hAnsi="Segoe UI Semibold"/>
          <w:b/>
          <w:color w:val="4A777A"/>
          <w:sz w:val="26"/>
        </w:rPr>
        <w:t>3. Unified Platform Architecture Summary</w:t>
      </w:r>
    </w:p>
    <w:p>
      <w:r>
        <w:t>By locking a distinct separation between the Engineering Stack and the Stakeholder Stack, the Cielo Epic platform ensures high computational resilience while maintaining institutional, audit-grade corporate visibility. Technical teams can continuously tune data ingest filters and infrastructure routing maps without interrupting the immutable security tracks or financial ledgers required by board directors and compliance entities. This dual-axis focus delivers a scalable, production-ready enterprise environment built to unlock long-term structural asset value premiums.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Segoe UI" w:hAnsi="Segoe U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