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D2301" w14:textId="77777777" w:rsidR="008026AA" w:rsidRDefault="00000000">
      <w:pPr>
        <w:spacing w:after="360"/>
        <w:jc w:val="center"/>
      </w:pPr>
      <w:r>
        <w:rPr>
          <w:rFonts w:ascii="Arial" w:hAnsi="Arial"/>
          <w:b/>
          <w:color w:val="1A365D"/>
          <w:sz w:val="48"/>
        </w:rPr>
        <w:t>Cielo Epic Enterprise Specification Blueprint</w:t>
      </w:r>
    </w:p>
    <w:p w14:paraId="7844915C" w14:textId="77777777" w:rsidR="008026AA" w:rsidRDefault="00000000">
      <w:pPr>
        <w:spacing w:after="560"/>
        <w:jc w:val="center"/>
      </w:pPr>
      <w:r>
        <w:rPr>
          <w:rFonts w:ascii="Arial" w:hAnsi="Arial"/>
          <w:color w:val="2B6C7A"/>
          <w:sz w:val="26"/>
        </w:rPr>
        <w:t>3-Track Hierarchical Mind Map &amp; Structural Flowcharts</w:t>
      </w:r>
    </w:p>
    <w:p w14:paraId="798978DE" w14:textId="77777777" w:rsidR="008026AA" w:rsidRDefault="00000000">
      <w:pPr>
        <w:keepNext/>
        <w:pBdr>
          <w:bottom w:val="single" w:sz="12" w:space="4" w:color="1A365D"/>
        </w:pBdr>
        <w:spacing w:before="440" w:after="160"/>
      </w:pPr>
      <w:r>
        <w:rPr>
          <w:rFonts w:ascii="Arial" w:hAnsi="Arial"/>
          <w:b/>
          <w:color w:val="1A365D"/>
          <w:sz w:val="32"/>
        </w:rPr>
        <w:t>Table of Contents</w:t>
      </w:r>
    </w:p>
    <w:p w14:paraId="29EEE5FE" w14:textId="77777777" w:rsidR="008026AA" w:rsidRDefault="00000000">
      <w:pPr>
        <w:spacing w:after="160"/>
      </w:pPr>
      <w:r>
        <w:t>1. Engineering Stack (Deep Technical Track)</w:t>
      </w:r>
      <w:r>
        <w:br/>
        <w:t>2. Stakeholder Stack (Regulatory &amp; Audit Track)</w:t>
      </w:r>
      <w:r>
        <w:br/>
        <w:t>3. Commercial Units and Economics (Commercial &amp; Valuation Track)</w:t>
      </w:r>
      <w:r>
        <w:br/>
        <w:t>4. 3-Pillar Master Mind Map Engine Specifications</w:t>
      </w:r>
    </w:p>
    <w:p w14:paraId="4CFA192A" w14:textId="77777777" w:rsidR="008026AA" w:rsidRDefault="00000000">
      <w:pPr>
        <w:keepNext/>
        <w:pBdr>
          <w:bottom w:val="single" w:sz="12" w:space="4" w:color="1A365D"/>
        </w:pBdr>
        <w:spacing w:before="440" w:after="160"/>
      </w:pPr>
      <w:r>
        <w:rPr>
          <w:rFonts w:ascii="Arial" w:hAnsi="Arial"/>
          <w:b/>
          <w:color w:val="1A365D"/>
          <w:sz w:val="32"/>
        </w:rPr>
        <w:t>1. Engineering Stack (Deep Technical Track)</w:t>
      </w:r>
    </w:p>
    <w:p w14:paraId="31A43C92" w14:textId="77777777" w:rsidR="008026AA" w:rsidRDefault="00000000">
      <w:pPr>
        <w:spacing w:after="160"/>
      </w:pPr>
      <w:r>
        <w:t>The Engineering Stack manages the raw operational boundaries of the system. It processes high-velocity field measurements and transforms unstructured payloads into secure, actionable system data.</w:t>
      </w:r>
    </w:p>
    <w:p w14:paraId="04B47E7D" w14:textId="77777777" w:rsidR="008026AA" w:rsidRDefault="00000000">
      <w:pPr>
        <w:keepNext/>
        <w:spacing w:before="320" w:after="120"/>
      </w:pPr>
      <w:r>
        <w:rPr>
          <w:rFonts w:ascii="Arial" w:hAnsi="Arial"/>
          <w:b/>
          <w:color w:val="2B6C7A"/>
          <w:sz w:val="26"/>
        </w:rPr>
        <w:t>1.1 Technical Data Flowchart Architecture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8026AA" w14:paraId="17373CC8" w14:textId="77777777">
        <w:trPr>
          <w:jc w:val="center"/>
        </w:trPr>
        <w:tc>
          <w:tcPr>
            <w:tcW w:w="93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6545E6" w14:textId="77777777" w:rsidR="008026AA" w:rsidRDefault="00000000">
            <w:pPr>
              <w:spacing w:before="80" w:after="80"/>
            </w:pPr>
            <w:r>
              <w:rPr>
                <w:rFonts w:ascii="Consolas" w:hAnsi="Consolas"/>
                <w:color w:val="2B6C7A"/>
                <w:sz w:val="20"/>
              </w:rPr>
              <w:t>[Heterogeneous Field Hardware Node Array]</w:t>
            </w:r>
            <w:r>
              <w:rPr>
                <w:rFonts w:ascii="Consolas" w:hAnsi="Consolas"/>
                <w:color w:val="2B6C7A"/>
                <w:sz w:val="20"/>
              </w:rPr>
              <w:br/>
              <w:t xml:space="preserve">   │</w:t>
            </w:r>
            <w:r>
              <w:rPr>
                <w:rFonts w:ascii="Consolas" w:hAnsi="Consolas"/>
                <w:color w:val="2B6C7A"/>
                <w:sz w:val="20"/>
              </w:rPr>
              <w:br/>
              <w:t xml:space="preserve">   ├── (BACnet / Modbus TCP / Zigbee Mesh telemetry inputs)</w:t>
            </w:r>
            <w:r>
              <w:rPr>
                <w:rFonts w:ascii="Consolas" w:hAnsi="Consolas"/>
                <w:color w:val="2B6C7A"/>
                <w:sz w:val="20"/>
              </w:rPr>
              <w:br/>
              <w:t xml:space="preserve">   ▼</w:t>
            </w:r>
            <w:r>
              <w:rPr>
                <w:rFonts w:ascii="Consolas" w:hAnsi="Consolas"/>
                <w:color w:val="2B6C7A"/>
                <w:sz w:val="20"/>
              </w:rPr>
              <w:br/>
              <w:t>[Boundary Gateway Ingestion Layer Proxy]</w:t>
            </w:r>
            <w:r>
              <w:rPr>
                <w:rFonts w:ascii="Consolas" w:hAnsi="Consolas"/>
                <w:color w:val="2B6C7A"/>
                <w:sz w:val="20"/>
              </w:rPr>
              <w:br/>
              <w:t xml:space="preserve">   │</w:t>
            </w:r>
            <w:r>
              <w:rPr>
                <w:rFonts w:ascii="Consolas" w:hAnsi="Consolas"/>
                <w:color w:val="2B6C7A"/>
                <w:sz w:val="20"/>
              </w:rPr>
              <w:br/>
              <w:t xml:space="preserve">   ├── (Strict mTLS 1.3 Encryption / X.509 Certificate Verification Handshake)</w:t>
            </w:r>
            <w:r>
              <w:rPr>
                <w:rFonts w:ascii="Consolas" w:hAnsi="Consolas"/>
                <w:color w:val="2B6C7A"/>
                <w:sz w:val="20"/>
              </w:rPr>
              <w:br/>
              <w:t xml:space="preserve">   ▼</w:t>
            </w:r>
            <w:r>
              <w:rPr>
                <w:rFonts w:ascii="Consolas" w:hAnsi="Consolas"/>
                <w:color w:val="2B6C7A"/>
                <w:sz w:val="20"/>
              </w:rPr>
              <w:br/>
              <w:t>[High-SLA RabbitMQ Broker Cluster Array] ──► (Invalid Schema Format) ──► [Dead Letter Queue: telemetry.dlq]</w:t>
            </w:r>
            <w:r>
              <w:rPr>
                <w:rFonts w:ascii="Consolas" w:hAnsi="Consolas"/>
                <w:color w:val="2B6C7A"/>
                <w:sz w:val="20"/>
              </w:rPr>
              <w:br/>
              <w:t xml:space="preserve">   │</w:t>
            </w:r>
            <w:r>
              <w:rPr>
                <w:rFonts w:ascii="Consolas" w:hAnsi="Consolas"/>
                <w:color w:val="2B6C7A"/>
                <w:sz w:val="20"/>
              </w:rPr>
              <w:br/>
              <w:t xml:space="preserve">   ├── (Valid AMQP Stream Partitions: Data Ingestion Verified at 99.99% SLA)</w:t>
            </w:r>
            <w:r>
              <w:rPr>
                <w:rFonts w:ascii="Consolas" w:hAnsi="Consolas"/>
                <w:color w:val="2B6C7A"/>
                <w:sz w:val="20"/>
              </w:rPr>
              <w:br/>
              <w:t xml:space="preserve">   ▼</w:t>
            </w:r>
            <w:r>
              <w:rPr>
                <w:rFonts w:ascii="Consolas" w:hAnsi="Consolas"/>
                <w:color w:val="2B6C7A"/>
                <w:sz w:val="20"/>
              </w:rPr>
              <w:br/>
              <w:t>[CK Complex Stream Processing Engine]</w:t>
            </w:r>
            <w:r>
              <w:rPr>
                <w:rFonts w:ascii="Consolas" w:hAnsi="Consolas"/>
                <w:color w:val="2B6C7A"/>
                <w:sz w:val="20"/>
              </w:rPr>
              <w:br/>
              <w:t xml:space="preserve">   │</w:t>
            </w:r>
            <w:r>
              <w:rPr>
                <w:rFonts w:ascii="Consolas" w:hAnsi="Consolas"/>
                <w:color w:val="2B6C7A"/>
                <w:sz w:val="20"/>
              </w:rPr>
              <w:br/>
              <w:t xml:space="preserve">   ├── (Executes Sub-10ms Structural Data Cleansing &amp; Dead-Band De-duplication)</w:t>
            </w:r>
            <w:r>
              <w:rPr>
                <w:rFonts w:ascii="Consolas" w:hAnsi="Consolas"/>
                <w:color w:val="2B6C7A"/>
                <w:sz w:val="20"/>
              </w:rPr>
              <w:br/>
              <w:t xml:space="preserve">   ├───► [Redis Active Cache Base] (Transient State Tracking &amp; Multi-Tenant Routing)</w:t>
            </w:r>
            <w:r>
              <w:rPr>
                <w:rFonts w:ascii="Consolas" w:hAnsi="Consolas"/>
                <w:color w:val="2B6C7A"/>
                <w:sz w:val="20"/>
              </w:rPr>
              <w:br/>
              <w:t xml:space="preserve">   ▼</w:t>
            </w:r>
            <w:r>
              <w:rPr>
                <w:rFonts w:ascii="Consolas" w:hAnsi="Consolas"/>
                <w:color w:val="2B6C7A"/>
                <w:sz w:val="20"/>
              </w:rPr>
              <w:br/>
              <w:t>[TimescaleDB Time-Series Data Hypertables]</w:t>
            </w:r>
            <w:r>
              <w:rPr>
                <w:rFonts w:ascii="Consolas" w:hAnsi="Consolas"/>
                <w:color w:val="2B6C7A"/>
                <w:sz w:val="20"/>
              </w:rPr>
              <w:br/>
            </w:r>
            <w:r>
              <w:rPr>
                <w:rFonts w:ascii="Consolas" w:hAnsi="Consolas"/>
                <w:color w:val="2B6C7A"/>
                <w:sz w:val="20"/>
              </w:rPr>
              <w:lastRenderedPageBreak/>
              <w:t xml:space="preserve">   │</w:t>
            </w:r>
            <w:r>
              <w:rPr>
                <w:rFonts w:ascii="Consolas" w:hAnsi="Consolas"/>
                <w:color w:val="2B6C7A"/>
                <w:sz w:val="20"/>
              </w:rPr>
              <w:br/>
              <w:t xml:space="preserve">   ├── (Bulk Relational Metadata Indexing via Azure SQL Master Ledger)</w:t>
            </w:r>
            <w:r>
              <w:rPr>
                <w:rFonts w:ascii="Consolas" w:hAnsi="Consolas"/>
                <w:color w:val="2B6C7A"/>
                <w:sz w:val="20"/>
              </w:rPr>
              <w:br/>
              <w:t xml:space="preserve">   ▼</w:t>
            </w:r>
            <w:r>
              <w:rPr>
                <w:rFonts w:ascii="Consolas" w:hAnsi="Consolas"/>
                <w:color w:val="2B6C7A"/>
                <w:sz w:val="20"/>
              </w:rPr>
              <w:br/>
              <w:t>[CE Predictive Machine Learning Inference Core]</w:t>
            </w:r>
            <w:r>
              <w:rPr>
                <w:rFonts w:ascii="Consolas" w:hAnsi="Consolas"/>
                <w:color w:val="2B6C7A"/>
                <w:sz w:val="20"/>
              </w:rPr>
              <w:br/>
              <w:t xml:space="preserve">   │</w:t>
            </w:r>
            <w:r>
              <w:rPr>
                <w:rFonts w:ascii="Consolas" w:hAnsi="Consolas"/>
                <w:color w:val="2B6C7A"/>
                <w:sz w:val="20"/>
              </w:rPr>
              <w:br/>
              <w:t xml:space="preserve">   ├── (Executes Automated Anomaly Identification &amp; Failure Window Projections)</w:t>
            </w:r>
            <w:r>
              <w:rPr>
                <w:rFonts w:ascii="Consolas" w:hAnsi="Consolas"/>
                <w:color w:val="2B6C7A"/>
                <w:sz w:val="20"/>
              </w:rPr>
              <w:br/>
              <w:t xml:space="preserve">   ▼</w:t>
            </w:r>
            <w:r>
              <w:rPr>
                <w:rFonts w:ascii="Consolas" w:hAnsi="Consolas"/>
                <w:color w:val="2B6C7A"/>
                <w:sz w:val="20"/>
              </w:rPr>
              <w:br/>
              <w:t>[Envoy API Edge Gateway Proxy Tier] ──► [GraphQL / REST API Core] ──► [Next.js Control Dashboard]</w:t>
            </w:r>
          </w:p>
        </w:tc>
      </w:tr>
    </w:tbl>
    <w:p w14:paraId="3D238F49" w14:textId="77777777" w:rsidR="008026AA" w:rsidRDefault="008026AA"/>
    <w:p w14:paraId="183CBA11" w14:textId="77777777" w:rsidR="008026AA" w:rsidRDefault="00000000">
      <w:pPr>
        <w:keepNext/>
        <w:spacing w:before="320" w:after="120"/>
      </w:pPr>
      <w:r>
        <w:rPr>
          <w:rFonts w:ascii="Arial" w:hAnsi="Arial"/>
          <w:b/>
          <w:color w:val="2B6C7A"/>
          <w:sz w:val="26"/>
        </w:rPr>
        <w:t>1.2 Architectural Component Analysis</w:t>
      </w:r>
    </w:p>
    <w:p w14:paraId="6CBAC9C8" w14:textId="77777777" w:rsidR="008026AA" w:rsidRDefault="00000000">
      <w:pPr>
        <w:pStyle w:val="ListBullet"/>
        <w:spacing w:after="60"/>
      </w:pPr>
      <w:r>
        <w:rPr>
          <w:b/>
          <w:color w:val="2C323F"/>
        </w:rPr>
        <w:t xml:space="preserve">Ingestion Tier: </w:t>
      </w:r>
      <w:r>
        <w:t>Deploys a fault-tolerant messaging interface utilizing an air-gapped broker topology. By offloading raw field measurements to independent ingestion lines, the platform handles massive hardware message scaling without locking down computational services.</w:t>
      </w:r>
    </w:p>
    <w:p w14:paraId="54DBF2EB" w14:textId="77777777" w:rsidR="008026AA" w:rsidRDefault="00000000">
      <w:pPr>
        <w:pStyle w:val="ListBullet"/>
        <w:spacing w:after="60"/>
      </w:pPr>
      <w:r>
        <w:rPr>
          <w:b/>
          <w:color w:val="2C323F"/>
        </w:rPr>
        <w:t xml:space="preserve">Processing Tier: </w:t>
      </w:r>
      <w:r>
        <w:t>Built using optimized execution runtimes to achieve sub-10ms processing latency. It filters out duplicate parameters to drastically reduce cloud compute costs.</w:t>
      </w:r>
    </w:p>
    <w:p w14:paraId="1503058E" w14:textId="77777777" w:rsidR="008026AA" w:rsidRDefault="00000000">
      <w:pPr>
        <w:pStyle w:val="ListBullet"/>
        <w:spacing w:after="60"/>
      </w:pPr>
      <w:r>
        <w:rPr>
          <w:b/>
          <w:color w:val="2C323F"/>
        </w:rPr>
        <w:t xml:space="preserve">Persistence Layer: </w:t>
      </w:r>
      <w:r>
        <w:t>Combines speed and flexibility using a multi-database approach. High-velocity metrics write cleanly to chunk-partitioned tables, transactional client metadata updates map via a standard relational database, and historical logs compress into cold-storage lakes for analytical retraining model checks.</w:t>
      </w:r>
    </w:p>
    <w:p w14:paraId="2FF8C672" w14:textId="77777777" w:rsidR="008026AA" w:rsidRDefault="00000000">
      <w:pPr>
        <w:pStyle w:val="ListBullet"/>
        <w:spacing w:after="60"/>
      </w:pPr>
      <w:r>
        <w:rPr>
          <w:b/>
          <w:color w:val="2C323F"/>
        </w:rPr>
        <w:t xml:space="preserve">DevOps &amp; Security Guardrails: </w:t>
      </w:r>
      <w:r>
        <w:t>Secures infrastructure performance by incorporating automated code compilation gates, strict vulnerability scanners, and automated rollouts. Tenant spaces are isolated using row-level security (RLS) policies within storage engines alongside zero-knowledge encryption protocols.</w:t>
      </w:r>
    </w:p>
    <w:p w14:paraId="75E1BD2E" w14:textId="77777777" w:rsidR="008026AA" w:rsidRDefault="00000000">
      <w:pPr>
        <w:keepNext/>
        <w:pBdr>
          <w:bottom w:val="single" w:sz="12" w:space="4" w:color="1A365D"/>
        </w:pBdr>
        <w:spacing w:before="440" w:after="160"/>
      </w:pPr>
      <w:r>
        <w:rPr>
          <w:rFonts w:ascii="Arial" w:hAnsi="Arial"/>
          <w:b/>
          <w:color w:val="1A365D"/>
          <w:sz w:val="32"/>
        </w:rPr>
        <w:t>2. Stakeholder Stack (Regulatory &amp; Audit Track)</w:t>
      </w:r>
    </w:p>
    <w:p w14:paraId="70238FA2" w14:textId="77777777" w:rsidR="008026AA" w:rsidRDefault="00000000">
      <w:pPr>
        <w:spacing w:after="160"/>
      </w:pPr>
      <w:r>
        <w:t>The Stakeholder Stack defines the system's operational control, compliance mapping, data safety, and sustainability auditing.</w:t>
      </w:r>
    </w:p>
    <w:p w14:paraId="1F4A38DB" w14:textId="77777777" w:rsidR="008026AA" w:rsidRDefault="00000000">
      <w:pPr>
        <w:keepNext/>
        <w:spacing w:before="320" w:after="120"/>
      </w:pPr>
      <w:r>
        <w:rPr>
          <w:rFonts w:ascii="Arial" w:hAnsi="Arial"/>
          <w:b/>
          <w:color w:val="2B6C7A"/>
          <w:sz w:val="26"/>
        </w:rPr>
        <w:t>2.1 Governance &amp; Auditing Process Flowchart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8026AA" w14:paraId="6606B97C" w14:textId="77777777">
        <w:trPr>
          <w:jc w:val="center"/>
        </w:trPr>
        <w:tc>
          <w:tcPr>
            <w:tcW w:w="93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73FEE6" w14:textId="77777777" w:rsidR="008026AA" w:rsidRDefault="00000000">
            <w:pPr>
              <w:spacing w:before="80" w:after="80"/>
            </w:pPr>
            <w:r>
              <w:rPr>
                <w:rFonts w:ascii="Consolas" w:hAnsi="Consolas"/>
                <w:color w:val="2B6C7A"/>
                <w:sz w:val="20"/>
              </w:rPr>
              <w:t>[Administrative Console Action Initiated]</w:t>
            </w:r>
            <w:r>
              <w:rPr>
                <w:rFonts w:ascii="Consolas" w:hAnsi="Consolas"/>
                <w:color w:val="2B6C7A"/>
                <w:sz w:val="20"/>
              </w:rPr>
              <w:br/>
              <w:t xml:space="preserve">   │</w:t>
            </w:r>
            <w:r>
              <w:rPr>
                <w:rFonts w:ascii="Consolas" w:hAnsi="Consolas"/>
                <w:color w:val="2B6C7A"/>
                <w:sz w:val="20"/>
              </w:rPr>
              <w:br/>
              <w:t xml:space="preserve">   ▼</w:t>
            </w:r>
            <w:r>
              <w:rPr>
                <w:rFonts w:ascii="Consolas" w:hAnsi="Consolas"/>
                <w:color w:val="2B6C7A"/>
                <w:sz w:val="20"/>
              </w:rPr>
              <w:br/>
              <w:t>[OIDC Identity Provider Authorization (OAuth2 / JWT Verification Loop)]</w:t>
            </w:r>
            <w:r>
              <w:rPr>
                <w:rFonts w:ascii="Consolas" w:hAnsi="Consolas"/>
                <w:color w:val="2B6C7A"/>
                <w:sz w:val="20"/>
              </w:rPr>
              <w:br/>
              <w:t xml:space="preserve">   │</w:t>
            </w:r>
            <w:r>
              <w:rPr>
                <w:rFonts w:ascii="Consolas" w:hAnsi="Consolas"/>
                <w:color w:val="2B6C7A"/>
                <w:sz w:val="20"/>
              </w:rPr>
              <w:br/>
              <w:t xml:space="preserve">   ├───► (Role = Tenant Admin) ──► Restrict Context to Local Portfolio Boundaries</w:t>
            </w:r>
            <w:r>
              <w:rPr>
                <w:rFonts w:ascii="Consolas" w:hAnsi="Consolas"/>
                <w:color w:val="2B6C7A"/>
                <w:sz w:val="20"/>
              </w:rPr>
              <w:br/>
              <w:t xml:space="preserve">   ├───► (Role = System Admin) ──► Open Master Cloud Platform Operational Controls</w:t>
            </w:r>
            <w:r>
              <w:rPr>
                <w:rFonts w:ascii="Consolas" w:hAnsi="Consolas"/>
                <w:color w:val="2B6C7A"/>
                <w:sz w:val="20"/>
              </w:rPr>
              <w:br/>
            </w:r>
            <w:r>
              <w:rPr>
                <w:rFonts w:ascii="Consolas" w:hAnsi="Consolas"/>
                <w:color w:val="2B6C7A"/>
                <w:sz w:val="20"/>
              </w:rPr>
              <w:lastRenderedPageBreak/>
              <w:t xml:space="preserve">   ▼</w:t>
            </w:r>
            <w:r>
              <w:rPr>
                <w:rFonts w:ascii="Consolas" w:hAnsi="Consolas"/>
                <w:color w:val="2B6C7A"/>
                <w:sz w:val="20"/>
              </w:rPr>
              <w:br/>
              <w:t>[Core Asset Database Ledger Change Log Applied]</w:t>
            </w:r>
            <w:r>
              <w:rPr>
                <w:rFonts w:ascii="Consolas" w:hAnsi="Consolas"/>
                <w:color w:val="2B6C7A"/>
                <w:sz w:val="20"/>
              </w:rPr>
              <w:br/>
              <w:t xml:space="preserve">   │</w:t>
            </w:r>
            <w:r>
              <w:rPr>
                <w:rFonts w:ascii="Consolas" w:hAnsi="Consolas"/>
                <w:color w:val="2B6C7A"/>
                <w:sz w:val="20"/>
              </w:rPr>
              <w:br/>
              <w:t xml:space="preserve">   ▼</w:t>
            </w:r>
            <w:r>
              <w:rPr>
                <w:rFonts w:ascii="Consolas" w:hAnsi="Consolas"/>
                <w:color w:val="2B6C7A"/>
                <w:sz w:val="20"/>
              </w:rPr>
              <w:br/>
              <w:t>[Immutable System Security Audit Trail Registration]</w:t>
            </w:r>
            <w:r>
              <w:rPr>
                <w:rFonts w:ascii="Consolas" w:hAnsi="Consolas"/>
                <w:color w:val="2B6C7A"/>
                <w:sz w:val="20"/>
              </w:rPr>
              <w:br/>
              <w:t xml:space="preserve">   │</w:t>
            </w:r>
            <w:r>
              <w:rPr>
                <w:rFonts w:ascii="Consolas" w:hAnsi="Consolas"/>
                <w:color w:val="2B6C7A"/>
                <w:sz w:val="20"/>
              </w:rPr>
              <w:br/>
              <w:t xml:space="preserve">   ▼</w:t>
            </w:r>
            <w:r>
              <w:rPr>
                <w:rFonts w:ascii="Consolas" w:hAnsi="Consolas"/>
                <w:color w:val="2B6C7A"/>
                <w:sz w:val="20"/>
              </w:rPr>
              <w:br/>
              <w:t>[Continuous Automated Compliance Verification Engine]</w:t>
            </w:r>
            <w:r>
              <w:rPr>
                <w:rFonts w:ascii="Consolas" w:hAnsi="Consolas"/>
                <w:color w:val="2B6C7A"/>
                <w:sz w:val="20"/>
              </w:rPr>
              <w:br/>
              <w:t xml:space="preserve">   │</w:t>
            </w:r>
            <w:r>
              <w:rPr>
                <w:rFonts w:ascii="Consolas" w:hAnsi="Consolas"/>
                <w:color w:val="2B6C7A"/>
                <w:sz w:val="20"/>
              </w:rPr>
              <w:br/>
              <w:t xml:space="preserve">   ├── [SOC 2 Type II Validation Testing Matrix]</w:t>
            </w:r>
            <w:r>
              <w:rPr>
                <w:rFonts w:ascii="Consolas" w:hAnsi="Consolas"/>
                <w:color w:val="2B6C7A"/>
                <w:sz w:val="20"/>
              </w:rPr>
              <w:br/>
              <w:t xml:space="preserve">   └── [ISO 27001 Structural Standard Cross-Checking]</w:t>
            </w:r>
            <w:r>
              <w:rPr>
                <w:rFonts w:ascii="Consolas" w:hAnsi="Consolas"/>
                <w:color w:val="2B6C7A"/>
                <w:sz w:val="20"/>
              </w:rPr>
              <w:br/>
              <w:t xml:space="preserve">   ▼</w:t>
            </w:r>
            <w:r>
              <w:rPr>
                <w:rFonts w:ascii="Consolas" w:hAnsi="Consolas"/>
                <w:color w:val="2B6C7A"/>
                <w:sz w:val="20"/>
              </w:rPr>
              <w:br/>
              <w:t>[ESG Sustainability Reporting Compiling Subsystem]</w:t>
            </w:r>
            <w:r>
              <w:rPr>
                <w:rFonts w:ascii="Consolas" w:hAnsi="Consolas"/>
                <w:color w:val="2B6C7A"/>
                <w:sz w:val="20"/>
              </w:rPr>
              <w:br/>
              <w:t xml:space="preserve">   │</w:t>
            </w:r>
            <w:r>
              <w:rPr>
                <w:rFonts w:ascii="Consolas" w:hAnsi="Consolas"/>
                <w:color w:val="2B6C7A"/>
                <w:sz w:val="20"/>
              </w:rPr>
              <w:br/>
              <w:t xml:space="preserve">   ├── (Pull Active Energy Consumption Metrics from Primary Time-Series DB)</w:t>
            </w:r>
            <w:r>
              <w:rPr>
                <w:rFonts w:ascii="Consolas" w:hAnsi="Consolas"/>
                <w:color w:val="2B6C7A"/>
                <w:sz w:val="20"/>
              </w:rPr>
              <w:br/>
              <w:t xml:space="preserve">   ├── (Inject Dynamic Local Grid Fuel-Mix Indices Allocation Variables)</w:t>
            </w:r>
            <w:r>
              <w:rPr>
                <w:rFonts w:ascii="Consolas" w:hAnsi="Consolas"/>
                <w:color w:val="2B6C7A"/>
                <w:sz w:val="20"/>
              </w:rPr>
              <w:br/>
              <w:t xml:space="preserve">   ▼</w:t>
            </w:r>
            <w:r>
              <w:rPr>
                <w:rFonts w:ascii="Consolas" w:hAnsi="Consolas"/>
                <w:color w:val="2B6C7A"/>
                <w:sz w:val="20"/>
              </w:rPr>
              <w:br/>
              <w:t>[Certified Scope 1 &amp; Scope 2 Emissions Statement Output] ──► [Investor-Ready Audit Ledger]</w:t>
            </w:r>
          </w:p>
        </w:tc>
      </w:tr>
    </w:tbl>
    <w:p w14:paraId="2B06B4AC" w14:textId="77777777" w:rsidR="008026AA" w:rsidRDefault="008026AA"/>
    <w:p w14:paraId="3B4DF02B" w14:textId="77777777" w:rsidR="008026AA" w:rsidRDefault="00000000">
      <w:pPr>
        <w:keepNext/>
        <w:spacing w:before="320" w:after="120"/>
      </w:pPr>
      <w:r>
        <w:rPr>
          <w:rFonts w:ascii="Arial" w:hAnsi="Arial"/>
          <w:b/>
          <w:color w:val="2B6C7A"/>
          <w:sz w:val="26"/>
        </w:rPr>
        <w:t>2.2 Operational Alignment Analysis</w:t>
      </w:r>
    </w:p>
    <w:p w14:paraId="3803789D" w14:textId="77777777" w:rsidR="008026AA" w:rsidRDefault="00000000">
      <w:pPr>
        <w:pStyle w:val="ListBullet"/>
        <w:spacing w:after="60"/>
      </w:pPr>
      <w:r>
        <w:rPr>
          <w:b/>
          <w:color w:val="2C323F"/>
        </w:rPr>
        <w:t xml:space="preserve">Corporate Governance: </w:t>
      </w:r>
      <w:r>
        <w:t>Establishes granular visibility parameters based on role. Board of Directors configurations pull top-level optimization portfolios, Tenant Administrators govern distinct corporate groups, and System Administrators handle core cloud deployment matrices.</w:t>
      </w:r>
    </w:p>
    <w:p w14:paraId="7836F473" w14:textId="77777777" w:rsidR="008026AA" w:rsidRDefault="00000000">
      <w:pPr>
        <w:pStyle w:val="ListBullet"/>
        <w:spacing w:after="60"/>
      </w:pPr>
      <w:r>
        <w:rPr>
          <w:b/>
          <w:color w:val="2C323F"/>
        </w:rPr>
        <w:t xml:space="preserve">Compliance &amp; Auditing: </w:t>
      </w:r>
      <w:r>
        <w:t>The system automatically validates backend operations against certified frameworks. Every platform reconfiguration, device deployment change, or security parameter update writes directly to an unalterable system audit trail.</w:t>
      </w:r>
    </w:p>
    <w:p w14:paraId="6F4CE2AD" w14:textId="77777777" w:rsidR="008026AA" w:rsidRDefault="00000000">
      <w:pPr>
        <w:pStyle w:val="ListBullet"/>
        <w:spacing w:after="60"/>
      </w:pPr>
      <w:r>
        <w:rPr>
          <w:b/>
          <w:color w:val="2C323F"/>
        </w:rPr>
        <w:t xml:space="preserve">Sustainability Reporting: </w:t>
      </w:r>
      <w:r>
        <w:t>Replaces manual emissions tracking sheets with an automated accounting ledger. It parses raw utility consumption datasets and applies real-time carbon conversion factors, generating certified Scope 1 and Scope 2 compliance disclosures.</w:t>
      </w:r>
    </w:p>
    <w:p w14:paraId="73A0ED46" w14:textId="77777777" w:rsidR="008026AA" w:rsidRDefault="00000000">
      <w:pPr>
        <w:keepNext/>
        <w:pBdr>
          <w:bottom w:val="single" w:sz="12" w:space="4" w:color="1A365D"/>
        </w:pBdr>
        <w:spacing w:before="440" w:after="160"/>
      </w:pPr>
      <w:r>
        <w:rPr>
          <w:rFonts w:ascii="Arial" w:hAnsi="Arial"/>
          <w:b/>
          <w:color w:val="1A365D"/>
          <w:sz w:val="32"/>
        </w:rPr>
        <w:t>3. Commercial Units and Economics (Commercial &amp; Valuation Track)</w:t>
      </w:r>
    </w:p>
    <w:p w14:paraId="7FBB7BF4" w14:textId="77777777" w:rsidR="008026AA" w:rsidRDefault="00000000">
      <w:pPr>
        <w:spacing w:after="160"/>
      </w:pPr>
      <w:r>
        <w:t>The Commercial Units and Economics segment maps operational metrics directly to business outcomes, demonstrating compounding portfolio value scaling.</w:t>
      </w:r>
    </w:p>
    <w:p w14:paraId="568F44A3" w14:textId="77777777" w:rsidR="008026AA" w:rsidRDefault="00000000">
      <w:pPr>
        <w:keepNext/>
        <w:spacing w:before="320" w:after="120"/>
      </w:pPr>
      <w:r>
        <w:rPr>
          <w:rFonts w:ascii="Arial" w:hAnsi="Arial"/>
          <w:b/>
          <w:color w:val="2B6C7A"/>
          <w:sz w:val="26"/>
        </w:rPr>
        <w:t>3.1 Financial Value Realization Flowchart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8026AA" w14:paraId="7A357E56" w14:textId="77777777">
        <w:trPr>
          <w:jc w:val="center"/>
        </w:trPr>
        <w:tc>
          <w:tcPr>
            <w:tcW w:w="93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490AF0" w14:textId="77777777" w:rsidR="008026AA" w:rsidRDefault="00000000">
            <w:pPr>
              <w:spacing w:before="80" w:after="80"/>
            </w:pPr>
            <w:r>
              <w:rPr>
                <w:rFonts w:ascii="Consolas" w:hAnsi="Consolas"/>
                <w:color w:val="2B6C7A"/>
                <w:sz w:val="20"/>
              </w:rPr>
              <w:t>[Deploy Platform Asset Footprint Node]</w:t>
            </w:r>
            <w:r>
              <w:rPr>
                <w:rFonts w:ascii="Consolas" w:hAnsi="Consolas"/>
                <w:color w:val="2B6C7A"/>
                <w:sz w:val="20"/>
              </w:rPr>
              <w:br/>
            </w:r>
            <w:r>
              <w:rPr>
                <w:rFonts w:ascii="Consolas" w:hAnsi="Consolas"/>
                <w:color w:val="2B6C7A"/>
                <w:sz w:val="20"/>
              </w:rPr>
              <w:lastRenderedPageBreak/>
              <w:t xml:space="preserve">   │</w:t>
            </w:r>
            <w:r>
              <w:rPr>
                <w:rFonts w:ascii="Consolas" w:hAnsi="Consolas"/>
                <w:color w:val="2B6C7A"/>
                <w:sz w:val="20"/>
              </w:rPr>
              <w:br/>
              <w:t xml:space="preserve">   ▼</w:t>
            </w:r>
            <w:r>
              <w:rPr>
                <w:rFonts w:ascii="Consolas" w:hAnsi="Consolas"/>
                <w:color w:val="2B6C7A"/>
                <w:sz w:val="20"/>
              </w:rPr>
              <w:br/>
              <w:t>[Extract Segment-Specific Unit Economic Revenue Models]</w:t>
            </w:r>
            <w:r>
              <w:rPr>
                <w:rFonts w:ascii="Consolas" w:hAnsi="Consolas"/>
                <w:color w:val="2B6C7A"/>
                <w:sz w:val="20"/>
              </w:rPr>
              <w:br/>
              <w:t xml:space="preserve">   ├── Hospitality:  $1,200 / Room / Year ──► Vacant Space Energy Mitigation</w:t>
            </w:r>
            <w:r>
              <w:rPr>
                <w:rFonts w:ascii="Consolas" w:hAnsi="Consolas"/>
                <w:color w:val="2B6C7A"/>
                <w:sz w:val="20"/>
              </w:rPr>
              <w:br/>
              <w:t xml:space="preserve">   ├── Commercial:   $1,500 / Floor / Year ──► Real-Time Occupancy Climate Optimization</w:t>
            </w:r>
            <w:r>
              <w:rPr>
                <w:rFonts w:ascii="Consolas" w:hAnsi="Consolas"/>
                <w:color w:val="2B6C7A"/>
                <w:sz w:val="20"/>
              </w:rPr>
              <w:br/>
              <w:t xml:space="preserve">   ├── Residential:  $800 / Unit / Year ───► Early Water Leak Detection &amp; Safety Actions</w:t>
            </w:r>
            <w:r>
              <w:rPr>
                <w:rFonts w:ascii="Consolas" w:hAnsi="Consolas"/>
                <w:color w:val="2B6C7A"/>
                <w:sz w:val="20"/>
              </w:rPr>
              <w:br/>
              <w:t xml:space="preserve">   └── Data Center:  $2,000 / Rack / Year ──► Precision IT Cooling &amp; Thermal Shifting</w:t>
            </w:r>
            <w:r>
              <w:rPr>
                <w:rFonts w:ascii="Consolas" w:hAnsi="Consolas"/>
                <w:color w:val="2B6C7A"/>
                <w:sz w:val="20"/>
              </w:rPr>
              <w:br/>
              <w:t xml:space="preserve">   │</w:t>
            </w:r>
            <w:r>
              <w:rPr>
                <w:rFonts w:ascii="Consolas" w:hAnsi="Consolas"/>
                <w:color w:val="2B6C7A"/>
                <w:sz w:val="20"/>
              </w:rPr>
              <w:br/>
              <w:t xml:space="preserve">   ▼</w:t>
            </w:r>
            <w:r>
              <w:rPr>
                <w:rFonts w:ascii="Consolas" w:hAnsi="Consolas"/>
                <w:color w:val="2B6C7A"/>
                <w:sz w:val="20"/>
              </w:rPr>
              <w:br/>
              <w:t>[Evaluate Target Client Payback Lifecycle Parameters]</w:t>
            </w:r>
            <w:r>
              <w:rPr>
                <w:rFonts w:ascii="Consolas" w:hAnsi="Consolas"/>
                <w:color w:val="2B6C7A"/>
                <w:sz w:val="20"/>
              </w:rPr>
              <w:br/>
              <w:t xml:space="preserve">   ├── Whales (Data Centers): High Front-End CAC  ──► Fast 8-Month Payback ──► 12x LTV/CAC Yield</w:t>
            </w:r>
            <w:r>
              <w:rPr>
                <w:rFonts w:ascii="Consolas" w:hAnsi="Consolas"/>
                <w:color w:val="2B6C7A"/>
                <w:sz w:val="20"/>
              </w:rPr>
              <w:br/>
              <w:t xml:space="preserve">   ├── Stars (Hospitality):   Balanced CAC Target ──► 14-Month Break-Even ──► Scalable Rollout</w:t>
            </w:r>
            <w:r>
              <w:rPr>
                <w:rFonts w:ascii="Consolas" w:hAnsi="Consolas"/>
                <w:color w:val="2B6C7A"/>
                <w:sz w:val="20"/>
              </w:rPr>
              <w:br/>
              <w:t xml:space="preserve">   └── Seeds (Residential):   Low Acquisition CAC ──► 18-Month Threshold  ──► Long-Tail Volume</w:t>
            </w:r>
            <w:r>
              <w:rPr>
                <w:rFonts w:ascii="Consolas" w:hAnsi="Consolas"/>
                <w:color w:val="2B6C7A"/>
                <w:sz w:val="20"/>
              </w:rPr>
              <w:br/>
              <w:t xml:space="preserve">   │</w:t>
            </w:r>
            <w:r>
              <w:rPr>
                <w:rFonts w:ascii="Consolas" w:hAnsi="Consolas"/>
                <w:color w:val="2B6C7A"/>
                <w:sz w:val="20"/>
              </w:rPr>
              <w:br/>
              <w:t xml:space="preserve">   ▼</w:t>
            </w:r>
            <w:r>
              <w:rPr>
                <w:rFonts w:ascii="Consolas" w:hAnsi="Consolas"/>
                <w:color w:val="2B6C7A"/>
                <w:sz w:val="20"/>
              </w:rPr>
              <w:br/>
              <w:t>[Activate Long-Term Portfolio Valuation Moats]</w:t>
            </w:r>
            <w:r>
              <w:rPr>
                <w:rFonts w:ascii="Consolas" w:hAnsi="Consolas"/>
                <w:color w:val="2B6C7A"/>
                <w:sz w:val="20"/>
              </w:rPr>
              <w:br/>
              <w:t xml:space="preserve">   ├── Step 1: Device Network Effect (3-5x Step) ──► Standard Infrastructure Connectivity Value</w:t>
            </w:r>
            <w:r>
              <w:rPr>
                <w:rFonts w:ascii="Consolas" w:hAnsi="Consolas"/>
                <w:color w:val="2B6C7A"/>
                <w:sz w:val="20"/>
              </w:rPr>
              <w:br/>
              <w:t xml:space="preserve">   ├── Step 2: AI/ML Layer Monetization (5-10x) ────► Active Cost Drops &amp; Extended Machine Life</w:t>
            </w:r>
            <w:r>
              <w:rPr>
                <w:rFonts w:ascii="Consolas" w:hAnsi="Consolas"/>
                <w:color w:val="2B6C7A"/>
                <w:sz w:val="20"/>
              </w:rPr>
              <w:br/>
              <w:t xml:space="preserve">   └── Step 3: High-Margin SaaS Multiplier (8-12x) ──► Continuous Compliance Platform Subscriptions</w:t>
            </w:r>
            <w:r>
              <w:rPr>
                <w:rFonts w:ascii="Consolas" w:hAnsi="Consolas"/>
                <w:color w:val="2B6C7A"/>
                <w:sz w:val="20"/>
              </w:rPr>
              <w:br/>
              <w:t xml:space="preserve">   │</w:t>
            </w:r>
            <w:r>
              <w:rPr>
                <w:rFonts w:ascii="Consolas" w:hAnsi="Consolas"/>
                <w:color w:val="2B6C7A"/>
                <w:sz w:val="20"/>
              </w:rPr>
              <w:br/>
              <w:t xml:space="preserve">   ▼</w:t>
            </w:r>
            <w:r>
              <w:rPr>
                <w:rFonts w:ascii="Consolas" w:hAnsi="Consolas"/>
                <w:color w:val="2B6C7A"/>
                <w:sz w:val="20"/>
              </w:rPr>
              <w:br/>
              <w:t>[Unlock Strategic Real Estate ESG Premium Appraisal Upgrades]</w:t>
            </w:r>
          </w:p>
        </w:tc>
      </w:tr>
    </w:tbl>
    <w:p w14:paraId="40797DEF" w14:textId="77777777" w:rsidR="008026AA" w:rsidRDefault="00000000">
      <w:pPr>
        <w:keepNext/>
        <w:spacing w:before="320" w:after="120"/>
      </w:pPr>
      <w:r>
        <w:rPr>
          <w:rFonts w:ascii="Arial" w:hAnsi="Arial"/>
          <w:b/>
          <w:color w:val="2B6C7A"/>
          <w:sz w:val="26"/>
        </w:rPr>
        <w:lastRenderedPageBreak/>
        <w:t>3.2 Strategic Economic Analysis</w:t>
      </w:r>
    </w:p>
    <w:p w14:paraId="0FE1214E" w14:textId="77777777" w:rsidR="008026AA" w:rsidRDefault="00000000">
      <w:pPr>
        <w:pStyle w:val="ListBullet"/>
        <w:spacing w:after="60"/>
      </w:pPr>
      <w:r>
        <w:rPr>
          <w:b/>
          <w:color w:val="2C323F"/>
        </w:rPr>
        <w:t xml:space="preserve">Unit Economics Models: </w:t>
      </w:r>
      <w:r>
        <w:t>Targets key infrastructure pain points with tailored pricing structures. Expenses scale in lockstep with building metrics, ensuring hardware investments correspond directly to reduced operating costs.</w:t>
      </w:r>
    </w:p>
    <w:p w14:paraId="4AC75AE4" w14:textId="77777777" w:rsidR="008026AA" w:rsidRDefault="00000000">
      <w:pPr>
        <w:pStyle w:val="ListBullet"/>
        <w:spacing w:after="60"/>
      </w:pPr>
      <w:r>
        <w:rPr>
          <w:b/>
          <w:color w:val="2C323F"/>
        </w:rPr>
        <w:t xml:space="preserve">Payback Lifecycles: </w:t>
      </w:r>
      <w:r>
        <w:t>Categorizes portfolio clients to maximize customer lifetime value (LTV). Enterprise Data Center installations yield high-margin long-term accounts despite long sales cycles, while residential projects offer lower cost barriers and high deployment volumes.</w:t>
      </w:r>
    </w:p>
    <w:p w14:paraId="5CF6C773" w14:textId="449A2C22" w:rsidR="008026AA" w:rsidRDefault="00000000" w:rsidP="006F4AFB">
      <w:pPr>
        <w:pStyle w:val="ListBullet"/>
        <w:spacing w:after="60"/>
      </w:pPr>
      <w:r>
        <w:rPr>
          <w:b/>
          <w:color w:val="2C323F"/>
        </w:rPr>
        <w:t xml:space="preserve">Revenue Accelerators &amp; Valuation Moats: </w:t>
      </w:r>
      <w:r>
        <w:t xml:space="preserve">Shifts the platform's core business model away from basic, single-margin hardware installations. As an enterprise gathers data across properties, its competitive moat deepens. The system scales from a simple connection tool to an intelligent optimization engine, creating high-margin software valuations for investors </w:t>
      </w:r>
    </w:p>
    <w:p w14:paraId="59F534A1" w14:textId="541167C4" w:rsidR="006F4AFB" w:rsidRDefault="006F4AFB" w:rsidP="006F4AFB">
      <w:pPr>
        <w:pStyle w:val="ListBullet"/>
        <w:numPr>
          <w:ilvl w:val="0"/>
          <w:numId w:val="0"/>
        </w:numPr>
        <w:spacing w:after="60"/>
        <w:ind w:left="360" w:hanging="360"/>
      </w:pPr>
      <w:r>
        <w:rPr>
          <w:noProof/>
        </w:rPr>
        <w:lastRenderedPageBreak/>
        <w:drawing>
          <wp:inline distT="0" distB="0" distL="0" distR="0" wp14:anchorId="3AC6A158" wp14:editId="50B48373">
            <wp:extent cx="6000648" cy="4438650"/>
            <wp:effectExtent l="0" t="0" r="635" b="0"/>
            <wp:docPr id="7466280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628085" name="Picture 74662808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00648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1F75E" w14:textId="77777777" w:rsidR="006F4AFB" w:rsidRDefault="006F4AFB" w:rsidP="006F4AFB">
      <w:pPr>
        <w:pStyle w:val="ListBullet"/>
        <w:numPr>
          <w:ilvl w:val="0"/>
          <w:numId w:val="0"/>
        </w:numPr>
        <w:spacing w:after="60"/>
        <w:ind w:left="360" w:hanging="360"/>
      </w:pPr>
    </w:p>
    <w:p w14:paraId="33A4F4D8" w14:textId="77777777" w:rsidR="006F4AFB" w:rsidRDefault="006F4AFB" w:rsidP="006F4AFB">
      <w:pPr>
        <w:pStyle w:val="ListBullet"/>
        <w:numPr>
          <w:ilvl w:val="0"/>
          <w:numId w:val="0"/>
        </w:numPr>
        <w:spacing w:after="60"/>
        <w:ind w:left="360" w:hanging="360"/>
      </w:pPr>
    </w:p>
    <w:p w14:paraId="125DCA49" w14:textId="77777777" w:rsidR="006F4AFB" w:rsidRDefault="006F4AFB" w:rsidP="006F4AFB">
      <w:pPr>
        <w:pStyle w:val="ListBullet"/>
        <w:numPr>
          <w:ilvl w:val="0"/>
          <w:numId w:val="0"/>
        </w:numPr>
        <w:spacing w:after="60"/>
        <w:ind w:left="360" w:hanging="360"/>
      </w:pPr>
    </w:p>
    <w:p w14:paraId="5841B0F5" w14:textId="77777777" w:rsidR="006F4AFB" w:rsidRDefault="006F4AFB" w:rsidP="006F4AFB">
      <w:pPr>
        <w:pStyle w:val="ListBullet"/>
        <w:numPr>
          <w:ilvl w:val="0"/>
          <w:numId w:val="0"/>
        </w:numPr>
        <w:spacing w:after="60"/>
        <w:ind w:left="360" w:hanging="360"/>
      </w:pPr>
    </w:p>
    <w:p w14:paraId="74C950D7" w14:textId="4F7C9378" w:rsidR="006F4AFB" w:rsidRDefault="006F4AFB" w:rsidP="006F4AFB">
      <w:pPr>
        <w:pStyle w:val="ListBullet"/>
        <w:numPr>
          <w:ilvl w:val="0"/>
          <w:numId w:val="0"/>
        </w:numPr>
        <w:spacing w:after="60"/>
        <w:ind w:left="360" w:hanging="360"/>
      </w:pPr>
    </w:p>
    <w:sectPr w:rsidR="006F4AF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3303462">
    <w:abstractNumId w:val="8"/>
  </w:num>
  <w:num w:numId="2" w16cid:durableId="1098602421">
    <w:abstractNumId w:val="6"/>
  </w:num>
  <w:num w:numId="3" w16cid:durableId="667365808">
    <w:abstractNumId w:val="5"/>
  </w:num>
  <w:num w:numId="4" w16cid:durableId="1527989233">
    <w:abstractNumId w:val="4"/>
  </w:num>
  <w:num w:numId="5" w16cid:durableId="1436057435">
    <w:abstractNumId w:val="7"/>
  </w:num>
  <w:num w:numId="6" w16cid:durableId="485977708">
    <w:abstractNumId w:val="3"/>
  </w:num>
  <w:num w:numId="7" w16cid:durableId="165174073">
    <w:abstractNumId w:val="2"/>
  </w:num>
  <w:num w:numId="8" w16cid:durableId="1341421359">
    <w:abstractNumId w:val="1"/>
  </w:num>
  <w:num w:numId="9" w16cid:durableId="1788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F4AFB"/>
    <w:rsid w:val="008026AA"/>
    <w:rsid w:val="00AA1D8D"/>
    <w:rsid w:val="00B47730"/>
    <w:rsid w:val="00C40C3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65954F"/>
  <w14:defaultImageDpi w14:val="300"/>
  <w15:docId w15:val="{D70C2855-7833-43B9-A038-501D9E05C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1049</Words>
  <Characters>5982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SIDDHARTH S</cp:lastModifiedBy>
  <cp:revision>2</cp:revision>
  <dcterms:created xsi:type="dcterms:W3CDTF">2013-12-23T23:15:00Z</dcterms:created>
  <dcterms:modified xsi:type="dcterms:W3CDTF">2026-06-03T09:24:00Z</dcterms:modified>
  <cp:category/>
</cp:coreProperties>
</file>