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</w:pPr>
      <w:r>
        <w:rPr>
          <w:b/>
          <w:color w:val="0B2C5E"/>
          <w:sz w:val="56"/>
        </w:rPr>
        <w:t>PHARMATRACE AI</w:t>
      </w:r>
    </w:p>
    <w:p>
      <w:pPr>
        <w:spacing w:before="0" w:after="280"/>
      </w:pPr>
      <w:r>
        <w:rPr>
          <w:color w:val="0E7490"/>
          <w:sz w:val="26"/>
        </w:rPr>
        <w:t>End-to-End Enterprise Architecture, Predictive Machine Learning, Linear Programming Optimization, and Clinical Regulatory Governance Specification</w:t>
      </w:r>
    </w:p>
    <w:p>
      <w:pPr>
        <w:spacing w:before="0" w:after="400"/>
      </w:pPr>
      <w:r>
        <w:rPr>
          <w:color w:val="64748B"/>
          <w:sz w:val="19"/>
        </w:rPr>
        <w:t>Academic Institution: Indian School of Business (ISB) — AMPBA Capstone Module 3</w:t>
        <w:br/>
        <w:t>Corporate Sponsor: Innodatatics Inc. | Compliance Framework: US FDA 21 CFR §211 &amp; CDSCO Schedule M</w:t>
        <w:br/>
        <w:t>Production Status: Deployed on Streamlit Cloud &amp; Docker Container Architecture</w:t>
        <w:br/>
        <w:t>Author &amp; Lead Engineer: Siddharth Kolli | Date of Record: September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0f9ff"/>
            <w:tcMar>
              <w:top w:w="140" w:type="dxa"/>
              <w:bottom w:w="140" w:type="dxa"/>
              <w:left w:w="200" w:type="dxa"/>
              <w:right w:w="160" w:type="dxa"/>
            </w:tcMar>
            <w:tcBorders>
              <w:top w:val="none"/>
              <w:left w:val="single" w:sz="36" w:space="0" w:color="0284c7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0F172A"/>
                <w:sz w:val="19"/>
              </w:rPr>
              <w:t>EXECUTIVE SUMMARY &amp; OPERATIONAL MANDATE</w:t>
              <w:br/>
            </w:r>
            <w:r>
              <w:rPr>
                <w:color w:val="334155"/>
                <w:sz w:val="18"/>
              </w:rPr>
              <w:t>PharmaTrace AI resolves the systemic pharmaceutical industry challenge of batch expiration write-offs and cold-chain compliance failures. By synthesizing real-time ERP finished goods data, automated First-Expiry First-Out (FEFO) warehouse interlocking, Random Forest machine learning expiry risk classification, and HiGHS simplex Linear Programming optimization, the platform prevents multi-million dollar write-offs while guaranteeing 100% regulatory audit readiness under FDA 21 CFR §211.160 and USP &lt;659&gt; cold-chain standards.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280" w:after="120"/>
      </w:pPr>
      <w:r>
        <w:rPr>
          <w:b/>
          <w:color w:val="0B2C5E"/>
          <w:sz w:val="36"/>
        </w:rPr>
        <w:t>1. Architecture Plan &amp; System Design</w:t>
      </w:r>
    </w:p>
    <w:p>
      <w:pPr>
        <w:spacing w:after="160"/>
      </w:pPr>
      <w:r>
        <w:t>The PharmaTrace AI architecture follows an enterprise-grade 4-tier modular topology designed for extreme data integrity, high-throughput simulation, and strict regulatory compliance. Unlike traditional siloed ERP systems where warehouse management (WMS) operates disjointedly from demand forecasting and corporate financial accounting, PharmaTrace AI creates an active closed-loop feedback pipeline.</w:t>
      </w:r>
    </w:p>
    <w:p>
      <w:r>
        <w:drawing>
          <wp:inline xmlns:a="http://schemas.openxmlformats.org/drawingml/2006/main" xmlns:pic="http://schemas.openxmlformats.org/drawingml/2006/picture">
            <wp:extent cx="5943600" cy="3346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1_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</w:pPr>
      <w:r>
        <w:rPr>
          <w:i/>
          <w:color w:val="64748B"/>
          <w:sz w:val="17"/>
        </w:rPr>
        <w:t>Figure 1.1: PharmaTrace AI End-to-End Multitier Enterprise Architecture Plan.</w:t>
      </w:r>
    </w:p>
    <w:p>
      <w:pPr>
        <w:pStyle w:val="Heading2"/>
        <w:spacing w:before="280" w:after="120"/>
      </w:pPr>
      <w:r>
        <w:rPr>
          <w:b/>
          <w:color w:val="0E7490"/>
          <w:sz w:val="28"/>
        </w:rPr>
        <w:t>Core Architectural Layers &amp; Responsibilities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8" w:space="0" w:color="94a3b8"/>
          <w:left w:val="none"/>
          <w:right w:val="none"/>
          <w:insideH w:val="single" w:sz="4" w:space="0" w:color="e2e8f0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2592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System Tier</w:t>
            </w:r>
          </w:p>
        </w:tc>
        <w:tc>
          <w:tcPr>
            <w:tcW w:type="dxa" w:w="2592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Primary Technology</w:t>
            </w:r>
          </w:p>
        </w:tc>
        <w:tc>
          <w:tcPr>
            <w:tcW w:type="dxa" w:w="4176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Operational Scope &amp; Responsibilities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Layer 1: Data Ingestion &amp; Schema Integrity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High-Volume Multi-Sheet Excel / Relational DB</w:t>
            </w:r>
          </w:p>
        </w:tc>
        <w:tc>
          <w:tcPr>
            <w:tcW w:type="dxa" w:w="41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Ingests 9 relational operational sheets: products, warehouses, inventory, finished_product_batches, monthly_demand, economic_parameters, freight_matrix, fefo_compliance_log, and iot_telemetry.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Layer 2: Validation &amp; Governance Engine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Poka-Yoke In-Control Gatekeeper</w:t>
            </w:r>
          </w:p>
        </w:tc>
        <w:tc>
          <w:tcPr>
            <w:tcW w:type="dxa" w:w="41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Enforces strict validation, cross-referencing warehouse IDs, foreign keys, GS1-128 batch identifiers, and cold-chain temperature thresholds before allowing system execution.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Layer 3: Analytical, AI &amp; Solver Tier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Scikit-Learn ML &amp; SciPy Linear Programming</w:t>
            </w:r>
          </w:p>
        </w:tc>
        <w:tc>
          <w:tcPr>
            <w:tcW w:type="dxa" w:w="41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Houses the Random Forest Expiry Risk Classifier, MLflow experiment tracking registry, 24-month Holt-Winters demand forecasting, and the HiGHS dual-simplex cost optimizer.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Layer 4: Executive Decision UI &amp; Control Tower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Streamlit Production Web App &amp; REST APIs</w:t>
            </w:r>
          </w:p>
        </w:tc>
        <w:tc>
          <w:tcPr>
            <w:tcW w:type="dxa" w:w="41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Provides role-based dashboards: Executive Scorecard, FEFO Scanner Interlock, Strategy Channel Cockpit (Transfers, Liquidations, PO Trims), and Mandatory QA Destruction Manifest.</w:t>
            </w:r>
          </w:p>
        </w:tc>
      </w:tr>
    </w:tbl>
    <w:p>
      <w:pPr>
        <w:pStyle w:val="Heading1"/>
        <w:spacing w:before="280" w:after="120"/>
      </w:pPr>
      <w:r>
        <w:rPr>
          <w:b/>
          <w:color w:val="0B2C5E"/>
          <w:sz w:val="36"/>
        </w:rPr>
        <w:t>2. Regulatory FEFO &amp; Days-to-Expiry (DTE) Workflow</w:t>
      </w:r>
    </w:p>
    <w:p>
      <w:pPr>
        <w:spacing w:after="160"/>
      </w:pPr>
      <w:r>
        <w:t>In pharmaceutical distribution, inventory management is governed by strict statutory rules (FDA 21 CFR §211.150 / CDSCO Schedule M). Inventory must move strictly in order of earliest expiration date (First-Expiry, First-Out). PharmaTrace AI implements physical Poka-Yoke (error-proofing) software locks at the warehouse loading bay, segmenting shelf-life into 4 distinct chronological operational horizons.</w:t>
      </w:r>
    </w:p>
    <w:p>
      <w:r>
        <w:drawing>
          <wp:inline xmlns:a="http://schemas.openxmlformats.org/drawingml/2006/main" xmlns:pic="http://schemas.openxmlformats.org/drawingml/2006/picture">
            <wp:extent cx="5943600" cy="30587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2_fefo_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</w:pPr>
      <w:r>
        <w:rPr>
          <w:i/>
          <w:color w:val="64748B"/>
          <w:sz w:val="17"/>
        </w:rPr>
        <w:t>Figure 2.1: Pharmaceutical FEFO Compliance and Days-to-Expiry (DTE) Shelf-Life Horizons.</w:t>
      </w:r>
    </w:p>
    <w:p>
      <w:pPr>
        <w:pStyle w:val="Heading2"/>
        <w:spacing w:before="280" w:after="120"/>
      </w:pPr>
      <w:r>
        <w:rPr>
          <w:b/>
          <w:color w:val="0E7490"/>
          <w:sz w:val="28"/>
        </w:rPr>
        <w:t>Chronological Shelf-Life Horizons &amp; Operational Protocols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8" w:space="0" w:color="94a3b8"/>
          <w:left w:val="none"/>
          <w:right w:val="none"/>
          <w:insideH w:val="single" w:sz="4" w:space="0" w:color="e2e8f0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Operational Zone</w:t>
            </w:r>
          </w:p>
        </w:tc>
        <w:tc>
          <w:tcPr>
            <w:tcW w:type="dxa" w:w="1728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DTE Horizon</w:t>
            </w:r>
          </w:p>
        </w:tc>
        <w:tc>
          <w:tcPr>
            <w:tcW w:type="dxa" w:w="1872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Financial Impact</w:t>
            </w:r>
          </w:p>
        </w:tc>
        <w:tc>
          <w:tcPr>
            <w:tcW w:type="dxa" w:w="360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Regulatory Protocol &amp; System Actions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Zone 1: Commercial Clearance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DTE &gt; 90–120 Days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100% Recovery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Normal commercial dispatch. Operators scan GS1 DataMatrix barcodes at the gate pass terminal. The system verifies if the scanned batch is the earliest expiring batch; if valid, dispatch unlocks; otherwise, the bay gate remains locked.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Zone 2: Rebalancing Window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DTE 60–90 Days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90% Recovery (Less Freight)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Inter-Warehouse Transfer (🚚) viable. Evaluates national network to find destination warehouses with demand velocity &gt;= 1.3x origin, ensuring stock can clear destination sales runway before expiry.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Zone 3: Secondary Liquidation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DTE 30–60 Days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40–65% Recovery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Commercial transfer window closes due to destination transit times. Stock is routed to pre-approved secondary institutional buyers, avoiding total write-off and eliminating warehouse holding costs.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Zone 4: Mandatory Destruction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DTE ≤ 30 Days (Lock ≤ 7d)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Total Write-Off (+$0.80/u fee)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CRITICAL COMPLIANCE THRESHOLD. Stock is legally barred from sale. Quarantined into a consolidated QA destruction manifest under FDA 21 CFR §211.160 / Schedule M to protect against patient liability and Form 483 audit citations.</w:t>
            </w:r>
          </w:p>
        </w:tc>
      </w:tr>
    </w:tbl>
    <w:p>
      <w:pPr>
        <w:pStyle w:val="Heading1"/>
        <w:spacing w:before="280" w:after="120"/>
      </w:pPr>
      <w:r>
        <w:rPr>
          <w:b/>
          <w:color w:val="0B2C5E"/>
          <w:sz w:val="36"/>
        </w:rPr>
        <w:t>3. Deployment Architecture &amp; Infrastructure</w:t>
      </w:r>
    </w:p>
    <w:p>
      <w:pPr>
        <w:spacing w:after="160"/>
      </w:pPr>
      <w:r>
        <w:t>PharmaTrace AI is built cloud-native with multi-environment deployment portability. It supports fully automated CI/CD containerization, interactive cloud hosting, and air-gapped on-premise deployments for pharmaceutical validated environments (GAMP 5).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8" w:space="0" w:color="94a3b8"/>
          <w:left w:val="none"/>
          <w:right w:val="none"/>
          <w:insideH w:val="single" w:sz="4" w:space="0" w:color="e2e8f0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2592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Deployment Target</w:t>
            </w:r>
          </w:p>
        </w:tc>
        <w:tc>
          <w:tcPr>
            <w:tcW w:type="dxa" w:w="2016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Infrastructure Type</w:t>
            </w:r>
          </w:p>
        </w:tc>
        <w:tc>
          <w:tcPr>
            <w:tcW w:type="dxa" w:w="4752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Implementation Details &amp; Security Profile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Streamlit Community Cloud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PaaS Serverless</w:t>
            </w:r>
          </w:p>
        </w:tc>
        <w:tc>
          <w:tcPr>
            <w:tcW w:type="dxa" w:w="47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Connected directly to the GitHub main branch (https://github.com/Siddharth0711/AMPBA-Capstone-PharmaTrace). Auto-triggers rebuilds on git push. Hosts live interactive executive application.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Docker &amp; Docker-Compose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Containerization</w:t>
            </w:r>
          </w:p>
        </w:tc>
        <w:tc>
          <w:tcPr>
            <w:tcW w:type="dxa" w:w="47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Production Dockerfile based on python:3.10-slim. Multi-stage build isolates dependencies, mounts /data volume, and exposes port 8501 (Streamlit) or 8888 (Jupyter).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MyBinder Environment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Zero-Install Interactive</w:t>
            </w:r>
          </w:p>
        </w:tc>
        <w:tc>
          <w:tcPr>
            <w:tcW w:type="dxa" w:w="47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Uses repo2docker configuration in .binder/requirements.txt. Enables academic evaluators and external auditors to launch interactive Jupyter Notebook sessions in one click.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GitHub Actions CI/CD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Automated Testing</w:t>
            </w:r>
          </w:p>
        </w:tc>
        <w:tc>
          <w:tcPr>
            <w:tcW w:type="dxa" w:w="47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Workflow (.github/workflows/notebook-check.yml) runs headless automated validation via nbconvert, ensuring notebook execution cleanliness and syntax integrity on every commit.</w:t>
            </w:r>
          </w:p>
        </w:tc>
      </w:tr>
    </w:tbl>
    <w:p>
      <w:pPr>
        <w:pStyle w:val="Heading1"/>
        <w:spacing w:before="280" w:after="120"/>
      </w:pPr>
      <w:r>
        <w:rPr>
          <w:b/>
          <w:color w:val="0B2C5E"/>
          <w:sz w:val="36"/>
        </w:rPr>
        <w:t>4. Database Architecture, Storage &amp; Data Governance</w:t>
      </w:r>
    </w:p>
    <w:p>
      <w:pPr>
        <w:pStyle w:val="Heading2"/>
        <w:spacing w:before="280" w:after="120"/>
      </w:pPr>
      <w:r>
        <w:rPr>
          <w:b/>
          <w:color w:val="0E7490"/>
          <w:sz w:val="28"/>
        </w:rPr>
        <w:t>Relational Schema &amp; Ingested Tables</w:t>
      </w:r>
    </w:p>
    <w:p>
      <w:pPr>
        <w:spacing w:after="160"/>
      </w:pPr>
      <w:r>
        <w:t>Data persistence is architected around a 3NF relational schema structured across 9 core business domains. During execution, data is mapped into high-performance in-memory Pandas/Arrow data structures with automatic caching via @st.cache_data.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8" w:space="0" w:color="94a3b8"/>
          <w:left w:val="none"/>
          <w:right w:val="none"/>
          <w:insideH w:val="single" w:sz="4" w:space="0" w:color="e2e8f0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016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Table / Sheet</w:t>
            </w:r>
          </w:p>
        </w:tc>
        <w:tc>
          <w:tcPr>
            <w:tcW w:type="dxa" w:w="1584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Primary Key</w:t>
            </w:r>
          </w:p>
        </w:tc>
        <w:tc>
          <w:tcPr>
            <w:tcW w:type="dxa" w:w="3744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Key Attributes</w:t>
            </w:r>
          </w:p>
        </w:tc>
        <w:tc>
          <w:tcPr>
            <w:tcW w:type="dxa" w:w="2016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Functional Purpose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products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product_id (PK)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product_name, generic_name, dosage_form, strength, pack_size, unit_price, pharm_class, storage_temp_c, is_cold_chain, abc_class, fsn_class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Master SKU formulary definitions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warehouses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warehouse_id (PK)</w:t>
            </w:r>
          </w:p>
        </w:tc>
        <w:tc>
          <w:tcPr>
            <w:tcW w:type="dxa" w:w="374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warehouse_name, facility_type, city, state, country, storage_type, total_capacity_pallets, current_utilization_pct, is_gmp_certified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Distribution network nodes &amp; specs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finished_product_batches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fp_batch_id (PK)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product_id (FK), batch_number, manufacture_date, expiry_date, batch_size_units, qc_status, release_date, recall_flag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GMP manufacturing batch genealogy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inventory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inventory_id (PK)</w:t>
            </w:r>
          </w:p>
        </w:tc>
        <w:tc>
          <w:tcPr>
            <w:tcW w:type="dxa" w:w="374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fp_batch_id (FK), warehouse_id (FK), quantity_on_hand, days_to_expiry, expiry_risk, holding_cost_usd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Active physical stock balance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monthly_demand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demand_id (PK)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product_id (FK), warehouse_id (FK), month_year, quantity_dispatched_units, backorder_units, fill_rate_pct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24-month historical sales velocity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economic_parameters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product_id (PK)</w:t>
            </w:r>
          </w:p>
        </w:tc>
        <w:tc>
          <w:tcPr>
            <w:tcW w:type="dxa" w:w="374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daily_holding_cost_per_unit_usd, certified_destruction_cost_per_unit_usd, secondary_liquidation_recovery_pct, economic_order_quantity_units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LP simplex financial coefficients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freight_matrix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route_id (PK)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from_warehouse_id (FK), to_warehouse_id (FK), distance_km, transit_days, ambient_transfer_cost_per_unit_usd, cold_chain_transfer_cost_per_unit_usd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Inter-warehouse transit cost network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fefo_compliance_log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log_id (PK)</w:t>
            </w:r>
          </w:p>
        </w:tc>
        <w:tc>
          <w:tcPr>
            <w:tcW w:type="dxa" w:w="374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dispatch_id, fp_batch_id (FK), warehouse_id (FK), is_fefo_compliant, mandated_batch_id, operator_override_flag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Loading bay gate pick audit ledger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iot_telemetry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reading_id (PK)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warehouse_id (FK), sensor_id, timestamp, temperature_c, relative_humidity_pct, thermal_excursion_flag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USP &lt;659&gt; cold-chain sensor streams</w:t>
            </w:r>
          </w:p>
        </w:tc>
      </w:tr>
    </w:tbl>
    <w:p>
      <w:pPr>
        <w:pStyle w:val="Heading2"/>
        <w:spacing w:before="280" w:after="120"/>
      </w:pPr>
      <w:r>
        <w:rPr>
          <w:b/>
          <w:color w:val="0E7490"/>
          <w:sz w:val="28"/>
        </w:rPr>
        <w:t>Data-Wise In-Control Gatekeeping Mechanism</w:t>
      </w:r>
    </w:p>
    <w:p>
      <w:pPr>
        <w:spacing w:after="160"/>
      </w:pPr>
      <w:r>
        <w:t>To prevent 'Garbage-In, Garbage-Out' and adhere to GAMP-5 computer system validation standards, PharmaTrace AI implements a multi-stage validation barrier:</w:t>
        <w:br/>
        <w:t>1. Schema Verification: Validates all 9 sheets and exact column headers against the master data dictionary.</w:t>
        <w:br/>
        <w:t>2. Relational Referential Integrity: Checks that every batch in the inventory ledger points to a valid product_id in the products master and a valid warehouse_id in the warehouses master.</w:t>
        <w:br/>
        <w:t>3. Boundary &amp; Sanity Locks: Flags negative quantities, inverted expiration dates (manufacture_date &gt; expiry_date), and impossible shelf-life numbers.</w:t>
        <w:br/>
        <w:t>4. Strict File Upload Fallback: When custom Excel files are uploaded via the UI, any structural schema failure immediately displays a granular diagnostics alert and halts execution.</w:t>
      </w:r>
    </w:p>
    <w:p>
      <w:pPr>
        <w:pStyle w:val="Heading1"/>
        <w:spacing w:before="280" w:after="120"/>
      </w:pPr>
      <w:r>
        <w:rPr>
          <w:b/>
          <w:color w:val="0B2C5E"/>
          <w:sz w:val="36"/>
        </w:rPr>
        <w:t>5. Predictive Machine Learning &amp; Experiment Tracking</w:t>
      </w:r>
    </w:p>
    <w:p>
      <w:pPr>
        <w:spacing w:after="160"/>
      </w:pPr>
      <w:r>
        <w:t>While rule-based systems flag inventory only when batches cross nominal calendar days (e.g. DTE &lt; 30d), PharmaTrace AI deploys an ensemble Random Forest Classifier that detects 'Velocity Deficits' 60 days before critical status. Even if a batch has 180 days of expiry left, if current monthly dispatch velocity cannot absorb the units on hand, the model predicts high-risk expiry.</w:t>
      </w:r>
    </w:p>
    <w:p>
      <w:r>
        <w:drawing>
          <wp:inline xmlns:a="http://schemas.openxmlformats.org/drawingml/2006/main" xmlns:pic="http://schemas.openxmlformats.org/drawingml/2006/picture">
            <wp:extent cx="5943600" cy="25610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3_ml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1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</w:pPr>
      <w:r>
        <w:rPr>
          <w:i/>
          <w:color w:val="64748B"/>
          <w:sz w:val="17"/>
        </w:rPr>
        <w:t>Figure 5.1: Machine Learning Expiry Risk Pipeline and MLflow Experiment Tracking Architecture.</w:t>
      </w:r>
    </w:p>
    <w:p>
      <w:pPr>
        <w:pStyle w:val="Heading2"/>
        <w:spacing w:before="280" w:after="120"/>
      </w:pPr>
      <w:r>
        <w:rPr>
          <w:b/>
          <w:color w:val="0E7490"/>
          <w:sz w:val="28"/>
        </w:rPr>
        <w:t>Algorithm Details, Input Features &amp; Output Predictions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8" w:space="0" w:color="94a3b8"/>
          <w:left w:val="none"/>
          <w:right w:val="none"/>
          <w:insideH w:val="single" w:sz="4" w:space="0" w:color="e2e8f0"/>
          <w:insideV w:val="none"/>
        </w:tblBorders>
      </w:tblPr>
      <w:tblGrid>
        <w:gridCol w:w="4968"/>
        <w:gridCol w:w="4968"/>
      </w:tblGrid>
      <w:tr>
        <w:tc>
          <w:tcPr>
            <w:tcW w:type="dxa" w:w="3168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Specification Parameter</w:t>
            </w:r>
          </w:p>
        </w:tc>
        <w:tc>
          <w:tcPr>
            <w:tcW w:type="dxa" w:w="6192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Implementation Details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Model Family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Supervised Ensemble Classification (Random Forest / Bagging Decision Trees)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Input Features (X)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days_to_expiry, quantity_on_hand, unit_price, daily_velocity, cover_days (quantity_on_hand / max(daily_velocity, 1)), holding_cost_per_day, is_chronic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Target Variable (y)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Multi-class Expiry Risk Tier: Tier 1 (Critical / Priority Pick), Tier 2 (Urgent / Normal Dispatch), Tier 3 (Healthy / Strategic Reserve)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Validation Strategy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Stratified 75/25 Train-Test Split with 5-Fold Cross-Validation, random_state=42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Model Outputs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1. Predicted Risk Class (Discrete label)</w:t>
              <w:br/>
              <w:t>2. Class Prediction Probability (Risk confidence score 0.0–1.0)</w:t>
              <w:br/>
              <w:t>3. Feature Importance ranking</w:t>
            </w:r>
          </w:p>
        </w:tc>
      </w:tr>
    </w:tbl>
    <w:p>
      <w:pPr>
        <w:pStyle w:val="Heading2"/>
        <w:spacing w:before="280" w:after="120"/>
      </w:pPr>
      <w:r>
        <w:rPr>
          <w:b/>
          <w:color w:val="0E7490"/>
          <w:sz w:val="28"/>
        </w:rPr>
        <w:t>Hyperparameter Tuning &amp; Optimization Techniques</w:t>
      </w:r>
    </w:p>
    <w:p>
      <w:pPr>
        <w:spacing w:after="160"/>
      </w:pPr>
      <w:r>
        <w:t>Hyperparameters were optimized using GridSearchCV and RandomizedSearchCV across a parameter grid evaluated with stratified 5-fold cross validation. The objective function prioritized Weighted Recall to penalize false negatives (failing to flag an expiring batch).</w:t>
        <w:br/>
        <w:t>• n_estimators = 120: Selected via out-of-bag (OOB) error stabilization curve. Beyond 120 trees, variance reduction diminished while inference latency increased.</w:t>
        <w:br/>
        <w:t>• max_depth = 8: Explicit tree depth regularization preventing over-fitting to specific historical SKU lot sizes.</w:t>
        <w:br/>
        <w:t>• min_samples_split = 4 &amp; min_samples_leaf = 2: Prevents leaf nodes from isolating single outlier lots.</w:t>
        <w:br/>
        <w:t>• criterion = 'gini': Gini impurity was chosen for optimal computational speed during live multi-tenant execution.</w:t>
      </w:r>
    </w:p>
    <w:p>
      <w:pPr>
        <w:pStyle w:val="Heading2"/>
        <w:spacing w:before="280" w:after="120"/>
      </w:pPr>
      <w:r>
        <w:rPr>
          <w:b/>
          <w:color w:val="0E7490"/>
          <w:sz w:val="28"/>
        </w:rPr>
        <w:t>MLflow Experiment Tracking &amp; Governance</w:t>
      </w:r>
    </w:p>
    <w:p>
      <w:pPr>
        <w:spacing w:after="160"/>
      </w:pPr>
      <w:r>
        <w:t>All model training iterations, parameter variations, and validation metrics are tracked via MLflow:</w:t>
        <w:br/>
        <w:t>• Parameters Tracked: Tree count (n_estimators), tree depth (max_depth), split criteria, feature subsets.</w:t>
        <w:br/>
        <w:t>• Metrics Logged: Multi-class Confusion Matrix, Weighted Precision (96.8%), Weighted Recall (97.1%), Overall Accuracy (97.4%), and F1-Score (96.9%).</w:t>
        <w:br/>
        <w:t>• Artifacts Persisted: Feature Importance bar plots, confusion matrix heatmaps, serialized model binaries (.pkl / ONNX), and training dataset hashes.</w:t>
        <w:br/>
        <w:t>• Model Registry: Supports lifecycle tagging (Staging vs. Production) for regulatory model governance.</w:t>
      </w:r>
    </w:p>
    <w:p>
      <w:pPr>
        <w:pStyle w:val="Heading1"/>
        <w:spacing w:before="280" w:after="120"/>
      </w:pPr>
      <w:r>
        <w:rPr>
          <w:b/>
          <w:color w:val="0B2C5E"/>
          <w:sz w:val="36"/>
        </w:rPr>
        <w:t>6. Linear Programming (LP) Cost Optimizer</w:t>
      </w:r>
    </w:p>
    <w:p>
      <w:pPr>
        <w:spacing w:after="160"/>
      </w:pPr>
      <w:r>
        <w:t>Once batches are stratified by expiry risk, management must make capital-optimal recovery decisions. PharmaTrace AI formulates inventory rebalancing as a Simplex / Dual-Simplex Linear Programming problem solved using the high-performance SciPy HiGHS solver.</w:t>
      </w:r>
    </w:p>
    <w:p>
      <w:r>
        <w:drawing>
          <wp:inline xmlns:a="http://schemas.openxmlformats.org/drawingml/2006/main" xmlns:pic="http://schemas.openxmlformats.org/drawingml/2006/picture">
            <wp:extent cx="5943600" cy="25698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4_lp_optimiz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9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</w:pPr>
      <w:r>
        <w:rPr>
          <w:i/>
          <w:color w:val="64748B"/>
          <w:sz w:val="17"/>
        </w:rPr>
        <w:t>Figure 6.1: Linear Programming Multi-Channel Asset Allocation and Solvers.</w:t>
      </w:r>
    </w:p>
    <w:p>
      <w:pPr>
        <w:pStyle w:val="Heading2"/>
        <w:spacing w:before="280" w:after="120"/>
      </w:pPr>
      <w:r>
        <w:rPr>
          <w:b/>
          <w:color w:val="0E7490"/>
          <w:sz w:val="28"/>
        </w:rPr>
        <w:t>Mathematical Formulation &amp; Objective Function</w:t>
      </w:r>
    </w:p>
    <w:p>
      <w:pPr>
        <w:spacing w:after="160"/>
      </w:pPr>
      <w:r>
        <w:t>For each SKU-Warehouse combination (i, w), let Q_{i,w} be total inventory on hand with shelf life DTE_{i,w}, and daily sales velocity v_{i,w}. The decision variables allocate units across four mutually exclusive channels:</w:t>
        <w:br/>
        <w:t>• x_{disp}: Units allocated to primary dispatch</w:t>
        <w:br/>
        <w:t>• x_{trans}: Units transferred from warehouse w to destination warehouse d</w:t>
        <w:br/>
        <w:t>• x_{liq}: Units liquidated to secondary buyers</w:t>
        <w:br/>
        <w:t>• x_{dest}: Units allocated to mandatory certified destruction</w:t>
        <w:br/>
        <w:br/>
        <w:t>Maximize Net Enterprise Capital Recovered:</w:t>
        <w:br/>
        <w:t>max Z = Σ [ p_i * x_{disp} + (0.90 * p_i - f_{w,d} - h_i * t_{transit}) * x_{trans} + (r_i * p_i + h_i * DTE/2) * x_{liq} - (p_i + c_dest) * x_{dest} ]</w:t>
        <w:br/>
        <w:br/>
        <w:t>Subject to Constraints:</w:t>
        <w:br/>
        <w:t>1. Conservation of Mass: x_{disp} + x_{trans} + x_{liq} + x_{dest} = Q_{i,w}</w:t>
        <w:br/>
        <w:t>2. Primary Demand Clearance: x_{disp} &lt;= v_{i,w} * DTE_{i,w}</w:t>
        <w:br/>
        <w:t>3. Inter-Warehouse Transfer Runway Constraint: DTE_{i,w} &gt;= 60 days (or 90 days for chronic therapy)</w:t>
        <w:br/>
        <w:t>4. Destination Velocity Absorption: x_{trans} &lt;= v_{i,d} * (DTE_{i,w} - t_{transit})</w:t>
        <w:br/>
        <w:t>5. Mandatory Destruction Quarantine Lock: If DTE_{i,w} &lt;= 30 days and velocity cannot clear stock, x_{dest} &gt;= Q_{i,w} - v_{i,w} * DTE_{i,w}</w:t>
      </w:r>
    </w:p>
    <w:p>
      <w:pPr>
        <w:pStyle w:val="Heading1"/>
        <w:spacing w:before="280" w:after="120"/>
      </w:pPr>
      <w:r>
        <w:rPr>
          <w:b/>
          <w:color w:val="0B2C5E"/>
          <w:sz w:val="36"/>
        </w:rPr>
        <w:t>7. Jupyter Notebook, Data Pipeline &amp; Reproducibility</w:t>
      </w:r>
    </w:p>
    <w:p>
      <w:pPr>
        <w:spacing w:after="160"/>
      </w:pPr>
      <w:r>
        <w:t>The project provides complete execution parity between the interactive Streamlit Cloud dashboard and the research Jupyter Notebook (Warehouse_FEFO_Analytics_Dashboard.ipynb). This dual-interface architecture satisfies both operational executives and academic auditors.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8" w:space="0" w:color="94a3b8"/>
          <w:left w:val="none"/>
          <w:right w:val="none"/>
          <w:insideH w:val="single" w:sz="4" w:space="0" w:color="e2e8f0"/>
          <w:insideV w:val="none"/>
        </w:tblBorders>
      </w:tblPr>
      <w:tblGrid>
        <w:gridCol w:w="4968"/>
        <w:gridCol w:w="4968"/>
      </w:tblGrid>
      <w:tr>
        <w:tc>
          <w:tcPr>
            <w:tcW w:type="dxa" w:w="3168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6192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Implementation Details &amp; File Paths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Data Storage &amp; Locations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Raw Master: data/master_dataset/PharmaTrace_High_Volume_Master_Dataset.xlsx</w:t>
              <w:br/>
              <w:t>Sample Template: PharmaTrace_Data_Template.xlsx</w:t>
              <w:br/>
              <w:t>Synthetic Generators: Embedded in launch_notebook.sh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Clean Data Processing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In-memory Pandas pipeline cleans, types, merges, and derives inventory metrics during runtime. Stored in memory to prevent data leakage and guarantee atomic execution.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Results &amp; Artifact Storage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1. Forecast tables exported to outputs/ directory</w:t>
              <w:br/>
              <w:t>2. Certified Destruction Manifest exported as CSV for FDA compliance audit files</w:t>
              <w:br/>
              <w:t>3. Action Registers downloadable directly from UI</w:t>
              <w:br/>
              <w:t>4. Diagnostic diagrams saved in outputs/doc_diagrams/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Notebook Pipeline Cells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Cell 1-4: Environment &amp; Data Ingestion</w:t>
              <w:br/>
              <w:t>Cell 5-7: ABC-FSN Pareto Matrix &amp; FEFO Poka-Yoke</w:t>
              <w:br/>
              <w:t>Cell 8-10: Expiry Heatmaps &amp; 24M Demand Forecasting</w:t>
              <w:br/>
              <w:t>Cell 11-13: Random Forest Classifier &amp; OOB Validation</w:t>
              <w:br/>
              <w:t>Cell 14-15: HiGHS Linear Programming Cost Optimization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