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4"/>
          <w:sz w:val="56"/>
        </w:rPr>
        <w:t>PharmaTrace AI</w:t>
      </w:r>
    </w:p>
    <w:p/>
    <w:p>
      <w:pPr>
        <w:jc w:val="center"/>
      </w:pPr>
      <w:r>
        <w:rPr>
          <w:b/>
          <w:color w:val="7C3AED"/>
          <w:sz w:val="40"/>
        </w:rPr>
        <w:t>ML Expiry Risk Classifier</w:t>
      </w:r>
    </w:p>
    <w:p/>
    <w:p>
      <w:pPr>
        <w:jc w:val="center"/>
      </w:pPr>
      <w:r>
        <w:rPr>
          <w:color w:val="475569"/>
          <w:sz w:val="24"/>
        </w:rPr>
        <w:t>Comprehensive Technical &amp; Management Explainer</w:t>
        <w:br/>
        <w:t>Design Rationale  |  Feature Engineering  |  Model Selection</w:t>
        <w:br/>
        <w:t>Demand Uncertainty  |  Probability Bands  |  Action Framework</w:t>
      </w:r>
    </w:p>
    <w:p/>
    <w:p>
      <w:pPr>
        <w:jc w:val="center"/>
      </w:pPr>
      <w:r>
        <w:rPr>
          <w:color w:val="94A3B8"/>
          <w:sz w:val="20"/>
        </w:rPr>
        <w:t>ISB AMPBA Capstone  |  Sponsor: Innodatatics Inc.</w:t>
        <w:br/>
        <w:t>Prepared for Presentation Review</w:t>
      </w:r>
    </w:p>
    <w:p>
      <w:r>
        <w:br w:type="page"/>
      </w:r>
    </w:p>
    <w:p>
      <w:pPr>
        <w:pStyle w:val="Heading1"/>
        <w:jc w:val="left"/>
      </w:pPr>
      <w:r>
        <w:rPr>
          <w:b/>
          <w:color w:val="1F3864"/>
        </w:rPr>
        <w:t>1. Executive Summary</w:t>
      </w:r>
    </w:p>
    <w:p>
      <w:pPr>
        <w:spacing w:after="160" w:line="360" w:lineRule="auto"/>
      </w:pPr>
      <w:r>
        <w:rPr>
          <w:b w:val="0"/>
          <w:i w:val="0"/>
          <w:sz w:val="22"/>
        </w:rPr>
        <w:t>The PharmaTrace ML Expiry Risk Classifier answers a single, high-value business question: "Will this pharmaceutical batch expire before it is fully sold?" The cost of getting this wrong is inventory write-offs, regulatory penalties, and patient safety risk. The benefit of getting it right is early intervention — liquidation, inter-warehouse transfer, or accelerated channel allocation — before stock crosses the point of no return.</w:t>
      </w:r>
    </w:p>
    <w:p>
      <w:pPr>
        <w:spacing w:after="160" w:line="360" w:lineRule="auto"/>
      </w:pPr>
      <w:r>
        <w:rPr>
          <w:b w:val="0"/>
          <w:i w:val="0"/>
          <w:sz w:val="22"/>
        </w:rPr>
        <w:t>This document explains every design decision: why ML beats a simple rule, how each feature is engineered, why demand uncertainty is the central challenge in pharma, how we address it with probability bands and demand scenario analysis, and exactly what each model output means for a supply chain manager.</w:t>
      </w:r>
    </w:p>
    <w:tbl>
      <w:tblPr>
        <w:tblStyle w:val="TableGrid"/>
        <w:tblW w:type="auto" w:w="0"/>
        <w:tblLook w:firstColumn="1" w:firstRow="1" w:lastColumn="0" w:lastRow="0" w:noHBand="0" w:noVBand="1" w:val="04A0"/>
      </w:tblPr>
      <w:tblGrid>
        <w:gridCol w:w="9406"/>
      </w:tblGrid>
      <w:tr>
        <w:tc>
          <w:tcPr>
            <w:tcW w:type="dxa" w:w="9406"/>
            <w:shd w:val="clear" w:color="auto" w:fill="F5F3FF"/>
          </w:tcPr>
          <w:p>
            <w:r>
              <w:rPr>
                <w:b/>
                <w:color w:val="1F3864"/>
                <w:sz w:val="22"/>
              </w:rPr>
              <w:t xml:space="preserve">  Key Result:</w:t>
            </w:r>
          </w:p>
          <w:p>
            <w:r>
              <w:rPr>
                <w:color w:val="334155"/>
                <w:sz w:val="21"/>
              </w:rPr>
              <w:t xml:space="preserve">  The Random Forest classifier (champion by Weighted F1) trained on 11 engineered features correctly identifies expiry-risk batches with high precision. More importantly, the model's probability scores allow management to distinguish certain write-offs (&gt;80% probability) from demand-sensitive risks (20-50%), enabling tiered, proportionate intervention rather than a blunt binary alarm.</w:t>
            </w:r>
          </w:p>
        </w:tc>
      </w:tr>
    </w:tbl>
    <w:p/>
    <w:p>
      <w:r>
        <w:br w:type="page"/>
      </w:r>
    </w:p>
    <w:p>
      <w:pPr>
        <w:pStyle w:val="Heading1"/>
        <w:jc w:val="left"/>
      </w:pPr>
      <w:r>
        <w:rPr>
          <w:b/>
          <w:color w:val="1F3864"/>
        </w:rPr>
        <w:t>2. The Business Problem — Why Do Pharma Batches Expire?</w:t>
      </w:r>
    </w:p>
    <w:p>
      <w:pPr>
        <w:spacing w:after="160" w:line="360" w:lineRule="auto"/>
      </w:pPr>
      <w:r>
        <w:rPr>
          <w:b w:val="0"/>
          <w:i w:val="0"/>
          <w:sz w:val="22"/>
        </w:rPr>
        <w:t>Pharmaceutical inventory expiry is not a rare edge case — it is a systemic industry problem. Unlike FMCG products, pharma batches have strict regulatory shelf-life limits enforced by agencies such as the US FDA (21 CFR Sec 211.150) and India's CDSCO (Schedule M, Section 8.2). Once a batch crosses its expiry date, it cannot be sold, donated, or transferred commercially without a certified destruction manifest.</w:t>
      </w:r>
    </w:p>
    <w:p>
      <w:pPr>
        <w:pStyle w:val="Heading2"/>
        <w:jc w:val="left"/>
      </w:pPr>
      <w:r>
        <w:rPr>
          <w:b/>
          <w:color w:val="1F3864"/>
        </w:rPr>
        <w:t>2.1 The Scale of the Problem</w:t>
      </w:r>
    </w:p>
    <w:p>
      <w:pPr>
        <w:pStyle w:val="ListBullet"/>
        <w:spacing w:after="80"/>
        <w:ind w:left="360"/>
      </w:pPr>
      <w:r>
        <w:rPr>
          <w:sz w:val="22"/>
        </w:rPr>
        <w:t>Industry analysts estimate pharmaceutical expiry waste at $35-50 billion globally per year, representing 2-4% of industry revenue.</w:t>
      </w:r>
    </w:p>
    <w:p>
      <w:pPr>
        <w:pStyle w:val="ListBullet"/>
        <w:spacing w:after="80"/>
        <w:ind w:left="360"/>
      </w:pPr>
      <w:r>
        <w:rPr>
          <w:sz w:val="22"/>
        </w:rPr>
        <w:t>For a mid-size distribution company, batch write-offs typically represent 1.5-3% of total inventory value — entirely avoidable with earlier intervention.</w:t>
      </w:r>
    </w:p>
    <w:p>
      <w:pPr>
        <w:pStyle w:val="ListBullet"/>
        <w:spacing w:after="80"/>
        <w:ind w:left="360"/>
      </w:pPr>
      <w:r>
        <w:rPr>
          <w:sz w:val="22"/>
        </w:rPr>
        <w:t>Regulatory burden adds additional cost: FDA/CDSCO inspection risk increases when expired stock remains in active warehouse records beyond 72 hours post-expiry.</w:t>
      </w:r>
    </w:p>
    <w:p>
      <w:pPr>
        <w:pStyle w:val="Heading2"/>
        <w:jc w:val="left"/>
      </w:pPr>
      <w:r>
        <w:rPr>
          <w:b/>
          <w:color w:val="1F3864"/>
        </w:rPr>
        <w:t>2.2 Root Causes</w:t>
      </w:r>
    </w:p>
    <w:p>
      <w:pPr>
        <w:spacing w:after="120" w:line="360" w:lineRule="auto"/>
      </w:pPr>
      <w:r>
        <w:rPr>
          <w:b w:val="0"/>
          <w:i w:val="0"/>
          <w:sz w:val="22"/>
        </w:rPr>
        <w:t>Expiry happens for three structural reasons, which the model is designed to detect:</w:t>
      </w:r>
    </w:p>
    <w:p>
      <w:pPr>
        <w:pStyle w:val="ListBullet"/>
        <w:spacing w:after="80"/>
        <w:ind w:left="360"/>
      </w:pPr>
      <w:r>
        <w:rPr>
          <w:b/>
          <w:sz w:val="22"/>
        </w:rPr>
        <w:t xml:space="preserve">Over-Procurement: </w:t>
      </w:r>
      <w:r>
        <w:rPr>
          <w:sz w:val="22"/>
        </w:rPr>
        <w:t xml:space="preserve"> Purchasing teams order based on annual demand forecasts but pharma demand is seasonal and volatile. A bulk purchase arrives when velocity is slowing — it never sells through.</w:t>
      </w:r>
    </w:p>
    <w:p>
      <w:pPr>
        <w:pStyle w:val="ListBullet"/>
        <w:spacing w:after="80"/>
        <w:ind w:left="360"/>
      </w:pPr>
      <w:r>
        <w:rPr>
          <w:b/>
          <w:sz w:val="22"/>
        </w:rPr>
        <w:t xml:space="preserve">Slow Velocity SKUs: </w:t>
      </w:r>
      <w:r>
        <w:rPr>
          <w:sz w:val="22"/>
        </w:rPr>
        <w:t xml:space="preserve"> Specialist therapeutics and niche generics have inherently low turnover. When stocked in large quantities, even a long shelf life is insufficient.</w:t>
      </w:r>
    </w:p>
    <w:p>
      <w:pPr>
        <w:pStyle w:val="ListBullet"/>
        <w:spacing w:after="80"/>
        <w:ind w:left="360"/>
      </w:pPr>
      <w:r>
        <w:rPr>
          <w:b/>
          <w:sz w:val="22"/>
        </w:rPr>
        <w:t xml:space="preserve">Channel Mismatch: </w:t>
      </w:r>
      <w:r>
        <w:rPr>
          <w:sz w:val="22"/>
        </w:rPr>
        <w:t xml:space="preserve"> A batch stored in a low-velocity DC may expire when the same product is in shortage at a high-velocity urban hub — a redistribution problem, not a demand problem.</w:t>
      </w:r>
    </w:p>
    <w:p/>
    <w:p>
      <w:r>
        <w:br w:type="page"/>
      </w:r>
    </w:p>
    <w:p>
      <w:pPr>
        <w:pStyle w:val="Heading1"/>
        <w:jc w:val="left"/>
      </w:pPr>
      <w:r>
        <w:rPr>
          <w:b/>
          <w:color w:val="1F3864"/>
        </w:rPr>
        <w:t>3. Why Simple Rules Fail — The Demand Uncertainty Problem</w:t>
      </w:r>
    </w:p>
    <w:p>
      <w:pPr>
        <w:spacing w:after="160" w:line="360" w:lineRule="auto"/>
      </w:pPr>
      <w:r>
        <w:rPr>
          <w:b w:val="0"/>
          <w:i w:val="0"/>
          <w:sz w:val="22"/>
        </w:rPr>
        <w:t>The most intuitive approach is a rule: 'If days_to_expiry &lt; threshold, flag the batch.' Simple rules work as a basic safety net but have two fundamental flaws:</w:t>
      </w:r>
    </w:p>
    <w:p>
      <w:pPr>
        <w:pStyle w:val="ListBullet"/>
        <w:spacing w:after="80"/>
        <w:ind w:left="360"/>
      </w:pPr>
      <w:r>
        <w:rPr>
          <w:b/>
          <w:sz w:val="22"/>
        </w:rPr>
        <w:t xml:space="preserve">Flaw 1 — No velocity context: </w:t>
      </w:r>
      <w:r>
        <w:rPr>
          <w:sz w:val="22"/>
        </w:rPr>
        <w:t>A batch expiring in 60 days with 10 units and a 50-unit/day dispatch rate is perfectly safe. The same batch with a 2-unit/day rate is a guaranteed write-off. A threshold rule cannot distinguish these cases.</w:t>
      </w:r>
    </w:p>
    <w:p>
      <w:pPr>
        <w:pStyle w:val="ListBullet"/>
        <w:spacing w:after="80"/>
        <w:ind w:left="360"/>
      </w:pPr>
      <w:r>
        <w:rPr>
          <w:b/>
          <w:sz w:val="22"/>
        </w:rPr>
        <w:t xml:space="preserve">Flaw 2 — No context sensitivity: </w:t>
      </w:r>
      <w:r>
        <w:rPr>
          <w:sz w:val="22"/>
        </w:rPr>
        <w:t>A 90-day threshold is too aggressive for a slow-moving specialist drug with 5 units on hand, but dangerously lenient for 50,000 units of a seasonal product.</w:t>
      </w:r>
    </w:p>
    <w:p/>
    <w:p>
      <w:pPr>
        <w:pStyle w:val="Heading2"/>
        <w:jc w:val="left"/>
      </w:pPr>
      <w:r>
        <w:rPr>
          <w:b/>
          <w:color w:val="1F3864"/>
        </w:rPr>
        <w:t>3.1 The Deeper Problem: Demand Is Never Fixed</w:t>
      </w:r>
    </w:p>
    <w:p>
      <w:pPr>
        <w:spacing w:after="120" w:line="360" w:lineRule="auto"/>
      </w:pPr>
      <w:r>
        <w:rPr>
          <w:b w:val="0"/>
          <w:i w:val="0"/>
          <w:sz w:val="22"/>
        </w:rPr>
        <w:t>Even a velocity-adjusted rule (flag if cover_days &gt; days_to_expiry) has a critical hidden assumption: that future demand will exactly equal the historical average. In pharma, this fails regularly:</w:t>
      </w:r>
    </w:p>
    <w:p>
      <w:pPr>
        <w:pStyle w:val="ListBullet"/>
        <w:spacing w:after="80"/>
        <w:ind w:left="360"/>
      </w:pPr>
      <w:r>
        <w:rPr>
          <w:b/>
          <w:sz w:val="22"/>
        </w:rPr>
        <w:t xml:space="preserve">Seasonality: </w:t>
      </w:r>
      <w:r>
        <w:rPr>
          <w:sz w:val="22"/>
        </w:rPr>
        <w:t xml:space="preserve"> Flu medications and ORS salts spike 3-5x in Q3 and collapse in Q1. A flat annual average underestimates clearance in peak months and overestimates it in troughs.</w:t>
      </w:r>
    </w:p>
    <w:p>
      <w:pPr>
        <w:pStyle w:val="ListBullet"/>
        <w:spacing w:after="80"/>
        <w:ind w:left="360"/>
      </w:pPr>
      <w:r>
        <w:rPr>
          <w:b/>
          <w:sz w:val="22"/>
        </w:rPr>
        <w:t xml:space="preserve">Disease Outbreaks: </w:t>
      </w:r>
      <w:r>
        <w:rPr>
          <w:sz w:val="22"/>
        </w:rPr>
        <w:t xml:space="preserve"> An unexpected dengue or COVID surge can multiply demand for specific therapeutic categories by 10-50x overnight — making 'at-risk' batches suddenly safe.</w:t>
      </w:r>
    </w:p>
    <w:p>
      <w:pPr>
        <w:pStyle w:val="ListBullet"/>
        <w:spacing w:after="80"/>
        <w:ind w:left="360"/>
      </w:pPr>
      <w:r>
        <w:rPr>
          <w:b/>
          <w:sz w:val="22"/>
        </w:rPr>
        <w:t xml:space="preserve">Tender Award / Loss: </w:t>
      </w:r>
      <w:r>
        <w:rPr>
          <w:sz w:val="22"/>
        </w:rPr>
        <w:t xml:space="preserve"> A government tender win adds millions of units of institutional demand instantaneously. A loss removes it. Neither event is visible in historical dispatch data.</w:t>
      </w:r>
    </w:p>
    <w:p>
      <w:pPr>
        <w:pStyle w:val="ListBullet"/>
        <w:spacing w:after="80"/>
        <w:ind w:left="360"/>
      </w:pPr>
      <w:r>
        <w:rPr>
          <w:b/>
          <w:sz w:val="22"/>
        </w:rPr>
        <w:t xml:space="preserve">Competitor Drug Launch: </w:t>
      </w:r>
      <w:r>
        <w:rPr>
          <w:sz w:val="22"/>
        </w:rPr>
        <w:t xml:space="preserve"> A competitor's equivalent molecule can permanently reduce demand for a given SKU — making historical velocity a dangerous overestimate going forward.</w:t>
      </w:r>
    </w:p>
    <w:p>
      <w:pPr>
        <w:pStyle w:val="ListBullet"/>
        <w:spacing w:after="80"/>
        <w:ind w:left="360"/>
      </w:pPr>
      <w:r>
        <w:rPr>
          <w:b/>
          <w:sz w:val="22"/>
        </w:rPr>
        <w:t xml:space="preserve">Regulatory Events: </w:t>
      </w:r>
      <w:r>
        <w:rPr>
          <w:sz w:val="22"/>
        </w:rPr>
        <w:t xml:space="preserve"> A CDSCO/FDA recall of a competing brand redirects all demand to remaining suppliers overnight. A manufacturing stop on your own product creates zero velocity regardless of demand.</w:t>
      </w:r>
    </w:p>
    <w:p>
      <w:pPr>
        <w:pStyle w:val="ListBullet"/>
        <w:spacing w:after="80"/>
        <w:ind w:left="360"/>
      </w:pPr>
      <w:r>
        <w:rPr>
          <w:b/>
          <w:sz w:val="22"/>
        </w:rPr>
        <w:t xml:space="preserve">Cold-Chain Failure: </w:t>
      </w:r>
      <w:r>
        <w:rPr>
          <w:sz w:val="22"/>
        </w:rPr>
        <w:t xml:space="preserve"> A temperature excursion in a refrigerated warehouse can quarantine the entire cold-chain inventory, dropping dispatch velocity to zero regardless of demand signals.</w:t>
      </w:r>
    </w:p>
    <w:p/>
    <w:tbl>
      <w:tblPr>
        <w:tblStyle w:val="TableGrid"/>
        <w:tblW w:type="auto" w:w="0"/>
        <w:tblLook w:firstColumn="1" w:firstRow="1" w:lastColumn="0" w:lastRow="0" w:noHBand="0" w:noVBand="1" w:val="04A0"/>
      </w:tblPr>
      <w:tblGrid>
        <w:gridCol w:w="9406"/>
      </w:tblGrid>
      <w:tr>
        <w:tc>
          <w:tcPr>
            <w:tcW w:type="dxa" w:w="9406"/>
            <w:shd w:val="clear" w:color="auto" w:fill="F5F3FF"/>
          </w:tcPr>
          <w:p>
            <w:r>
              <w:rPr>
                <w:b/>
                <w:color w:val="7C3AED"/>
                <w:sz w:val="22"/>
              </w:rPr>
              <w:t xml:space="preserve">  Key Insight:</w:t>
            </w:r>
          </w:p>
          <w:p>
            <w:r>
              <w:rPr>
                <w:color w:val="334155"/>
                <w:sz w:val="21"/>
              </w:rPr>
              <w:t xml:space="preserve">  Because demand is inherently uncertain, no model can classify every batch as definitively 'safe' or 'at risk' with 100% confidence. The honest and actionable output is a PROBABILITY SCORE — not a binary label. This is exactly what the PharmaTrace ML classifier delivers.</w:t>
            </w:r>
          </w:p>
        </w:tc>
      </w:tr>
    </w:tbl>
    <w:p/>
    <w:p>
      <w:r>
        <w:br w:type="page"/>
      </w:r>
    </w:p>
    <w:p>
      <w:pPr>
        <w:pStyle w:val="Heading1"/>
        <w:jc w:val="left"/>
      </w:pPr>
      <w:r>
        <w:rPr>
          <w:b/>
          <w:color w:val="1F3864"/>
        </w:rPr>
        <w:t>4. Our ML Approach — What We Built and Why</w:t>
      </w:r>
    </w:p>
    <w:p>
      <w:pPr>
        <w:spacing w:after="160" w:line="360" w:lineRule="auto"/>
      </w:pPr>
      <w:r>
        <w:rPr>
          <w:b w:val="0"/>
          <w:i w:val="0"/>
          <w:sz w:val="22"/>
        </w:rPr>
        <w:t>We built a supervised binary classification system. Target variable: 'Will this batch expire before being fully sold?' (1 = At Risk, 0 = Safe). The classifier trains on engineered inventory features and is evaluated on a 25% stratified held-out test set.</w:t>
      </w:r>
    </w:p>
    <w:p>
      <w:pPr>
        <w:pStyle w:val="Heading2"/>
        <w:jc w:val="left"/>
      </w:pPr>
      <w:r>
        <w:rPr>
          <w:b/>
          <w:color w:val="1F3864"/>
        </w:rPr>
        <w:t>4.1 Feature Engineering — The 11 Predictive Variables</w:t>
      </w:r>
    </w:p>
    <w:p>
      <w:pPr>
        <w:spacing w:after="160" w:line="360" w:lineRule="auto"/>
      </w:pPr>
      <w:r>
        <w:rPr>
          <w:b w:val="0"/>
          <w:i w:val="0"/>
          <w:sz w:val="22"/>
        </w:rPr>
        <w:t>Raw inventory data is insufficient on its own. We engineered 11 features that capture the interplay between stock volume, sales velocity, and shelf life — the three axes of expiry risk.</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3864"/>
          </w:tcPr>
          <w:p>
            <w:r>
              <w:rPr>
                <w:b/>
                <w:color w:val="FFFFFF"/>
                <w:sz w:val="20"/>
              </w:rPr>
              <w:t>Feature Name</w:t>
            </w:r>
          </w:p>
        </w:tc>
        <w:tc>
          <w:tcPr>
            <w:tcW w:type="dxa" w:w="2351"/>
            <w:shd w:val="clear" w:color="auto" w:fill="1F3864"/>
          </w:tcPr>
          <w:p>
            <w:r>
              <w:rPr>
                <w:b/>
                <w:color w:val="FFFFFF"/>
                <w:sz w:val="20"/>
              </w:rPr>
              <w:t>Formula / Definition</w:t>
            </w:r>
          </w:p>
        </w:tc>
        <w:tc>
          <w:tcPr>
            <w:tcW w:type="dxa" w:w="2351"/>
            <w:shd w:val="clear" w:color="auto" w:fill="1F3864"/>
          </w:tcPr>
          <w:p>
            <w:r>
              <w:rPr>
                <w:b/>
                <w:color w:val="FFFFFF"/>
                <w:sz w:val="20"/>
              </w:rPr>
              <w:t>Unit</w:t>
            </w:r>
          </w:p>
        </w:tc>
        <w:tc>
          <w:tcPr>
            <w:tcW w:type="dxa" w:w="2351"/>
            <w:shd w:val="clear" w:color="auto" w:fill="1F3864"/>
          </w:tcPr>
          <w:p>
            <w:r>
              <w:rPr>
                <w:b/>
                <w:color w:val="FFFFFF"/>
                <w:sz w:val="20"/>
              </w:rPr>
              <w:t>Why It Matters</w:t>
            </w:r>
          </w:p>
        </w:tc>
      </w:tr>
      <w:tr>
        <w:tc>
          <w:tcPr>
            <w:tcW w:type="dxa" w:w="2351"/>
            <w:vAlign w:val="center"/>
          </w:tcPr>
          <w:p>
            <w:r>
              <w:rPr>
                <w:b w:val="0"/>
                <w:sz w:val="19"/>
              </w:rPr>
              <w:t>days_to_expiry</w:t>
            </w:r>
          </w:p>
        </w:tc>
        <w:tc>
          <w:tcPr>
            <w:tcW w:type="dxa" w:w="2351"/>
            <w:vAlign w:val="center"/>
          </w:tcPr>
          <w:p>
            <w:r>
              <w:rPr>
                <w:b w:val="0"/>
                <w:sz w:val="19"/>
              </w:rPr>
              <w:t>Expiry Date minus Today</w:t>
            </w:r>
          </w:p>
        </w:tc>
        <w:tc>
          <w:tcPr>
            <w:tcW w:type="dxa" w:w="2351"/>
            <w:vAlign w:val="center"/>
          </w:tcPr>
          <w:p>
            <w:r>
              <w:rPr>
                <w:b w:val="0"/>
                <w:sz w:val="19"/>
              </w:rPr>
              <w:t>Days</w:t>
            </w:r>
          </w:p>
        </w:tc>
        <w:tc>
          <w:tcPr>
            <w:tcW w:type="dxa" w:w="2351"/>
            <w:vAlign w:val="center"/>
          </w:tcPr>
          <w:p>
            <w:r>
              <w:rPr>
                <w:b w:val="0"/>
                <w:sz w:val="19"/>
              </w:rPr>
              <w:t>Primary urgency clock. Shorter DTE = higher urgency.</w:t>
            </w:r>
          </w:p>
        </w:tc>
      </w:tr>
      <w:tr>
        <w:tc>
          <w:tcPr>
            <w:tcW w:type="dxa" w:w="2351"/>
            <w:vAlign w:val="center"/>
          </w:tcPr>
          <w:p>
            <w:r>
              <w:rPr>
                <w:b w:val="0"/>
                <w:sz w:val="19"/>
              </w:rPr>
              <w:t>quantity_on_hand</w:t>
            </w:r>
          </w:p>
        </w:tc>
        <w:tc>
          <w:tcPr>
            <w:tcW w:type="dxa" w:w="2351"/>
            <w:vAlign w:val="center"/>
          </w:tcPr>
          <w:p>
            <w:r>
              <w:rPr>
                <w:b w:val="0"/>
                <w:sz w:val="19"/>
              </w:rPr>
              <w:t>Units physically in warehouse</w:t>
            </w:r>
          </w:p>
        </w:tc>
        <w:tc>
          <w:tcPr>
            <w:tcW w:type="dxa" w:w="2351"/>
            <w:vAlign w:val="center"/>
          </w:tcPr>
          <w:p>
            <w:r>
              <w:rPr>
                <w:b w:val="0"/>
                <w:sz w:val="19"/>
              </w:rPr>
              <w:t>Units</w:t>
            </w:r>
          </w:p>
        </w:tc>
        <w:tc>
          <w:tcPr>
            <w:tcW w:type="dxa" w:w="2351"/>
            <w:vAlign w:val="center"/>
          </w:tcPr>
          <w:p>
            <w:r>
              <w:rPr>
                <w:b w:val="0"/>
                <w:sz w:val="19"/>
              </w:rPr>
              <w:t>Over-procured stock amplifies expiry risk regardless of velocity.</w:t>
            </w:r>
          </w:p>
        </w:tc>
      </w:tr>
      <w:tr>
        <w:tc>
          <w:tcPr>
            <w:tcW w:type="dxa" w:w="2351"/>
            <w:vAlign w:val="center"/>
          </w:tcPr>
          <w:p>
            <w:r>
              <w:rPr>
                <w:b w:val="0"/>
                <w:sz w:val="19"/>
              </w:rPr>
              <w:t>unit_price</w:t>
            </w:r>
          </w:p>
        </w:tc>
        <w:tc>
          <w:tcPr>
            <w:tcW w:type="dxa" w:w="2351"/>
            <w:vAlign w:val="center"/>
          </w:tcPr>
          <w:p>
            <w:r>
              <w:rPr>
                <w:b w:val="0"/>
                <w:sz w:val="19"/>
              </w:rPr>
              <w:t>Price per unit</w:t>
            </w:r>
          </w:p>
        </w:tc>
        <w:tc>
          <w:tcPr>
            <w:tcW w:type="dxa" w:w="2351"/>
            <w:vAlign w:val="center"/>
          </w:tcPr>
          <w:p>
            <w:r>
              <w:rPr>
                <w:b w:val="0"/>
                <w:sz w:val="19"/>
              </w:rPr>
              <w:t>USD/unit</w:t>
            </w:r>
          </w:p>
        </w:tc>
        <w:tc>
          <w:tcPr>
            <w:tcW w:type="dxa" w:w="2351"/>
            <w:vAlign w:val="center"/>
          </w:tcPr>
          <w:p>
            <w:r>
              <w:rPr>
                <w:b w:val="0"/>
                <w:sz w:val="19"/>
              </w:rPr>
              <w:t>High-price SKUs carry disproportionate write-off exposure.</w:t>
            </w:r>
          </w:p>
        </w:tc>
      </w:tr>
      <w:tr>
        <w:tc>
          <w:tcPr>
            <w:tcW w:type="dxa" w:w="2351"/>
            <w:vAlign w:val="center"/>
          </w:tcPr>
          <w:p>
            <w:r>
              <w:rPr>
                <w:b w:val="0"/>
                <w:sz w:val="19"/>
              </w:rPr>
              <w:t>avg_monthly_dispatch</w:t>
            </w:r>
          </w:p>
        </w:tc>
        <w:tc>
          <w:tcPr>
            <w:tcW w:type="dxa" w:w="2351"/>
            <w:vAlign w:val="center"/>
          </w:tcPr>
          <w:p>
            <w:r>
              <w:rPr>
                <w:b w:val="0"/>
                <w:sz w:val="19"/>
              </w:rPr>
              <w:t>Total Dispatched in 24M / 24</w:t>
            </w:r>
          </w:p>
        </w:tc>
        <w:tc>
          <w:tcPr>
            <w:tcW w:type="dxa" w:w="2351"/>
            <w:vAlign w:val="center"/>
          </w:tcPr>
          <w:p>
            <w:r>
              <w:rPr>
                <w:b w:val="0"/>
                <w:sz w:val="19"/>
              </w:rPr>
              <w:t>Units/month</w:t>
            </w:r>
          </w:p>
        </w:tc>
        <w:tc>
          <w:tcPr>
            <w:tcW w:type="dxa" w:w="2351"/>
            <w:vAlign w:val="center"/>
          </w:tcPr>
          <w:p>
            <w:r>
              <w:rPr>
                <w:b w:val="0"/>
                <w:sz w:val="19"/>
              </w:rPr>
              <w:t>Historical sales velocity — denominator of all velocity ratios.</w:t>
            </w:r>
          </w:p>
        </w:tc>
      </w:tr>
      <w:tr>
        <w:tc>
          <w:tcPr>
            <w:tcW w:type="dxa" w:w="2351"/>
            <w:vAlign w:val="center"/>
          </w:tcPr>
          <w:p>
            <w:r>
              <w:rPr>
                <w:b w:val="0"/>
                <w:sz w:val="19"/>
              </w:rPr>
              <w:t>cover_days</w:t>
            </w:r>
          </w:p>
        </w:tc>
        <w:tc>
          <w:tcPr>
            <w:tcW w:type="dxa" w:w="2351"/>
            <w:vAlign w:val="center"/>
          </w:tcPr>
          <w:p>
            <w:r>
              <w:rPr>
                <w:b w:val="0"/>
                <w:sz w:val="19"/>
              </w:rPr>
              <w:t>Qty / Monthly Velocity x 30</w:t>
            </w:r>
          </w:p>
        </w:tc>
        <w:tc>
          <w:tcPr>
            <w:tcW w:type="dxa" w:w="2351"/>
            <w:vAlign w:val="center"/>
          </w:tcPr>
          <w:p>
            <w:r>
              <w:rPr>
                <w:b w:val="0"/>
                <w:sz w:val="19"/>
              </w:rPr>
              <w:t>Days</w:t>
            </w:r>
          </w:p>
        </w:tc>
        <w:tc>
          <w:tcPr>
            <w:tcW w:type="dxa" w:w="2351"/>
            <w:vAlign w:val="center"/>
          </w:tcPr>
          <w:p>
            <w:r>
              <w:rPr>
                <w:b w:val="0"/>
                <w:sz w:val="19"/>
              </w:rPr>
              <w:t>How many days of stock remain at current sell-through rate.</w:t>
            </w:r>
          </w:p>
        </w:tc>
      </w:tr>
      <w:tr>
        <w:tc>
          <w:tcPr>
            <w:tcW w:type="dxa" w:w="2351"/>
            <w:vAlign w:val="center"/>
          </w:tcPr>
          <w:p>
            <w:r>
              <w:rPr>
                <w:b w:val="0"/>
                <w:sz w:val="19"/>
              </w:rPr>
              <w:t>risk_score</w:t>
            </w:r>
          </w:p>
        </w:tc>
        <w:tc>
          <w:tcPr>
            <w:tcW w:type="dxa" w:w="2351"/>
            <w:vAlign w:val="center"/>
          </w:tcPr>
          <w:p>
            <w:r>
              <w:rPr>
                <w:b w:val="0"/>
                <w:sz w:val="19"/>
              </w:rPr>
              <w:t>DTE / Total Shelf Life Days</w:t>
            </w:r>
          </w:p>
        </w:tc>
        <w:tc>
          <w:tcPr>
            <w:tcW w:type="dxa" w:w="2351"/>
            <w:vAlign w:val="center"/>
          </w:tcPr>
          <w:p>
            <w:r>
              <w:rPr>
                <w:b w:val="0"/>
                <w:sz w:val="19"/>
              </w:rPr>
              <w:t>0 to 1 ratio</w:t>
            </w:r>
          </w:p>
        </w:tc>
        <w:tc>
          <w:tcPr>
            <w:tcW w:type="dxa" w:w="2351"/>
            <w:vAlign w:val="center"/>
          </w:tcPr>
          <w:p>
            <w:r>
              <w:rPr>
                <w:b w:val="0"/>
                <w:sz w:val="19"/>
              </w:rPr>
              <w:t>Fraction of approved shelf life still remaining.</w:t>
            </w:r>
          </w:p>
        </w:tc>
      </w:tr>
      <w:tr>
        <w:tc>
          <w:tcPr>
            <w:tcW w:type="dxa" w:w="2351"/>
            <w:vAlign w:val="center"/>
          </w:tcPr>
          <w:p>
            <w:r>
              <w:rPr>
                <w:b w:val="0"/>
                <w:sz w:val="19"/>
              </w:rPr>
              <w:t>velocity_pressure</w:t>
            </w:r>
          </w:p>
        </w:tc>
        <w:tc>
          <w:tcPr>
            <w:tcW w:type="dxa" w:w="2351"/>
            <w:vAlign w:val="center"/>
          </w:tcPr>
          <w:p>
            <w:r>
              <w:rPr>
                <w:b w:val="0"/>
                <w:sz w:val="19"/>
              </w:rPr>
              <w:t>Cover Days / DTE</w:t>
            </w:r>
          </w:p>
        </w:tc>
        <w:tc>
          <w:tcPr>
            <w:tcW w:type="dxa" w:w="2351"/>
            <w:vAlign w:val="center"/>
          </w:tcPr>
          <w:p>
            <w:r>
              <w:rPr>
                <w:b w:val="0"/>
                <w:sz w:val="19"/>
              </w:rPr>
              <w:t>Ratio (x)</w:t>
            </w:r>
          </w:p>
        </w:tc>
        <w:tc>
          <w:tcPr>
            <w:tcW w:type="dxa" w:w="2351"/>
            <w:vAlign w:val="center"/>
          </w:tcPr>
          <w:p>
            <w:r>
              <w:rPr>
                <w:b w:val="0"/>
                <w:sz w:val="19"/>
              </w:rPr>
              <w:t>KEY SIGNAL: &gt;1.0 means stock cannot sell before expiry at current velocity.</w:t>
            </w:r>
          </w:p>
        </w:tc>
      </w:tr>
      <w:tr>
        <w:tc>
          <w:tcPr>
            <w:tcW w:type="dxa" w:w="2351"/>
            <w:vAlign w:val="center"/>
          </w:tcPr>
          <w:p>
            <w:r>
              <w:rPr>
                <w:b w:val="0"/>
                <w:sz w:val="19"/>
              </w:rPr>
              <w:t>value_per_day</w:t>
            </w:r>
          </w:p>
        </w:tc>
        <w:tc>
          <w:tcPr>
            <w:tcW w:type="dxa" w:w="2351"/>
            <w:vAlign w:val="center"/>
          </w:tcPr>
          <w:p>
            <w:r>
              <w:rPr>
                <w:b w:val="0"/>
                <w:sz w:val="19"/>
              </w:rPr>
              <w:t>Inventory Value / DTE</w:t>
            </w:r>
          </w:p>
        </w:tc>
        <w:tc>
          <w:tcPr>
            <w:tcW w:type="dxa" w:w="2351"/>
            <w:vAlign w:val="center"/>
          </w:tcPr>
          <w:p>
            <w:r>
              <w:rPr>
                <w:b w:val="0"/>
                <w:sz w:val="19"/>
              </w:rPr>
              <w:t>USD/day</w:t>
            </w:r>
          </w:p>
        </w:tc>
        <w:tc>
          <w:tcPr>
            <w:tcW w:type="dxa" w:w="2351"/>
            <w:vAlign w:val="center"/>
          </w:tcPr>
          <w:p>
            <w:r>
              <w:rPr>
                <w:b w:val="0"/>
                <w:sz w:val="19"/>
              </w:rPr>
              <w:t>Daily capital burn rate — high = urgency to clear quickly.</w:t>
            </w:r>
          </w:p>
        </w:tc>
      </w:tr>
      <w:tr>
        <w:tc>
          <w:tcPr>
            <w:tcW w:type="dxa" w:w="2351"/>
            <w:vAlign w:val="center"/>
          </w:tcPr>
          <w:p>
            <w:r>
              <w:rPr>
                <w:b w:val="0"/>
                <w:sz w:val="19"/>
              </w:rPr>
              <w:t>capital_velocity_ratio</w:t>
            </w:r>
          </w:p>
        </w:tc>
        <w:tc>
          <w:tcPr>
            <w:tcW w:type="dxa" w:w="2351"/>
            <w:vAlign w:val="center"/>
          </w:tcPr>
          <w:p>
            <w:r>
              <w:rPr>
                <w:b w:val="0"/>
                <w:sz w:val="19"/>
              </w:rPr>
              <w:t>Value per Day / Monthly Dispatch</w:t>
            </w:r>
          </w:p>
        </w:tc>
        <w:tc>
          <w:tcPr>
            <w:tcW w:type="dxa" w:w="2351"/>
            <w:vAlign w:val="center"/>
          </w:tcPr>
          <w:p>
            <w:r>
              <w:rPr>
                <w:b w:val="0"/>
                <w:sz w:val="19"/>
              </w:rPr>
              <w:t>USD/unit sold</w:t>
            </w:r>
          </w:p>
        </w:tc>
        <w:tc>
          <w:tcPr>
            <w:tcW w:type="dxa" w:w="2351"/>
            <w:vAlign w:val="center"/>
          </w:tcPr>
          <w:p>
            <w:r>
              <w:rPr>
                <w:b w:val="0"/>
                <w:sz w:val="19"/>
              </w:rPr>
              <w:t>Dollar exposure per unit sold. High = high financial risk per day of delay.</w:t>
            </w:r>
          </w:p>
        </w:tc>
      </w:tr>
      <w:tr>
        <w:tc>
          <w:tcPr>
            <w:tcW w:type="dxa" w:w="2351"/>
            <w:vAlign w:val="center"/>
          </w:tcPr>
          <w:p>
            <w:r>
              <w:rPr>
                <w:b w:val="0"/>
                <w:sz w:val="19"/>
              </w:rPr>
              <w:t>shelf_life_consumed_pct</w:t>
            </w:r>
          </w:p>
        </w:tc>
        <w:tc>
          <w:tcPr>
            <w:tcW w:type="dxa" w:w="2351"/>
            <w:vAlign w:val="center"/>
          </w:tcPr>
          <w:p>
            <w:r>
              <w:rPr>
                <w:b w:val="0"/>
                <w:sz w:val="19"/>
              </w:rPr>
              <w:t>1 minus Risk Score</w:t>
            </w:r>
          </w:p>
        </w:tc>
        <w:tc>
          <w:tcPr>
            <w:tcW w:type="dxa" w:w="2351"/>
            <w:vAlign w:val="center"/>
          </w:tcPr>
          <w:p>
            <w:r>
              <w:rPr>
                <w:b w:val="0"/>
                <w:sz w:val="19"/>
              </w:rPr>
              <w:t>0 to 1</w:t>
            </w:r>
          </w:p>
        </w:tc>
        <w:tc>
          <w:tcPr>
            <w:tcW w:type="dxa" w:w="2351"/>
            <w:vAlign w:val="center"/>
          </w:tcPr>
          <w:p>
            <w:r>
              <w:rPr>
                <w:b w:val="0"/>
                <w:sz w:val="19"/>
              </w:rPr>
              <w:t>&gt;60% consumed with slow velocity triggers immediate alert.</w:t>
            </w:r>
          </w:p>
        </w:tc>
      </w:tr>
      <w:tr>
        <w:tc>
          <w:tcPr>
            <w:tcW w:type="dxa" w:w="2351"/>
            <w:vAlign w:val="center"/>
          </w:tcPr>
          <w:p>
            <w:r>
              <w:rPr>
                <w:b w:val="0"/>
                <w:sz w:val="19"/>
              </w:rPr>
              <w:t>pct_life_remaining</w:t>
            </w:r>
          </w:p>
        </w:tc>
        <w:tc>
          <w:tcPr>
            <w:tcW w:type="dxa" w:w="2351"/>
            <w:vAlign w:val="center"/>
          </w:tcPr>
          <w:p>
            <w:r>
              <w:rPr>
                <w:b w:val="0"/>
                <w:sz w:val="19"/>
              </w:rPr>
              <w:t>DTE / Max DTE in portfolio</w:t>
            </w:r>
          </w:p>
        </w:tc>
        <w:tc>
          <w:tcPr>
            <w:tcW w:type="dxa" w:w="2351"/>
            <w:vAlign w:val="center"/>
          </w:tcPr>
          <w:p>
            <w:r>
              <w:rPr>
                <w:b w:val="0"/>
                <w:sz w:val="19"/>
              </w:rPr>
              <w:t>0 to 1</w:t>
            </w:r>
          </w:p>
        </w:tc>
        <w:tc>
          <w:tcPr>
            <w:tcW w:type="dxa" w:w="2351"/>
            <w:vAlign w:val="center"/>
          </w:tcPr>
          <w:p>
            <w:r>
              <w:rPr>
                <w:b w:val="0"/>
                <w:sz w:val="19"/>
              </w:rPr>
              <w:t>Relative remaining life vs. all other batches — contextual urgency.</w:t>
            </w:r>
          </w:p>
        </w:tc>
      </w:tr>
    </w:tbl>
    <w:p/>
    <w:p>
      <w:pPr>
        <w:pStyle w:val="Heading2"/>
        <w:jc w:val="left"/>
      </w:pPr>
      <w:r>
        <w:rPr>
          <w:b/>
          <w:color w:val="1F3864"/>
        </w:rPr>
        <w:t>4.2 The Critical Feature: Velocity Pressure (VP)</w:t>
      </w:r>
    </w:p>
    <w:p>
      <w:pPr>
        <w:spacing w:after="80" w:line="360" w:lineRule="auto"/>
      </w:pPr>
      <w:r>
        <w:rPr>
          <w:b w:val="0"/>
          <w:i w:val="0"/>
          <w:sz w:val="22"/>
        </w:rPr>
        <w:t>The single most important engineered feature is Velocity Pressure:</w:t>
      </w:r>
    </w:p>
    <w:p>
      <w:pPr>
        <w:jc w:val="center"/>
      </w:pPr>
      <w:r>
        <w:rPr>
          <w:b/>
          <w:color w:val="7C3AED"/>
          <w:sz w:val="24"/>
        </w:rPr>
        <w:t>Velocity Pressure = Cover Days / Days to Expiry = (Qty / Monthly Velocity x 30) / DTE</w:t>
      </w:r>
    </w:p>
    <w:p/>
    <w:p>
      <w:pPr>
        <w:pStyle w:val="ListBullet"/>
        <w:spacing w:after="80"/>
        <w:ind w:left="360"/>
      </w:pPr>
      <w:r>
        <w:rPr>
          <w:sz w:val="22"/>
        </w:rPr>
        <w:t>VP &lt; 1.0: Cover is LESS than DTE. The batch can sell through in time. Safe zone.</w:t>
      </w:r>
    </w:p>
    <w:p>
      <w:pPr>
        <w:pStyle w:val="ListBullet"/>
        <w:spacing w:after="80"/>
        <w:ind w:left="360"/>
      </w:pPr>
      <w:r>
        <w:rPr>
          <w:sz w:val="22"/>
        </w:rPr>
        <w:t>VP = 1.0: The cliff edge. At exactly this velocity, the last unit sells on the exact expiry day.</w:t>
      </w:r>
    </w:p>
    <w:p>
      <w:pPr>
        <w:pStyle w:val="ListBullet"/>
        <w:spacing w:after="80"/>
        <w:ind w:left="360"/>
      </w:pPr>
      <w:r>
        <w:rPr>
          <w:sz w:val="22"/>
        </w:rPr>
        <w:t>VP &gt; 1.0: Cover EXCEEDS DTE. Expiry is mathematically certain at current velocity, regardless of how hard sales pushes.</w:t>
      </w:r>
    </w:p>
    <w:p>
      <w:pPr>
        <w:pStyle w:val="ListBullet"/>
        <w:spacing w:after="80"/>
        <w:ind w:left="360"/>
      </w:pPr>
      <w:r>
        <w:rPr>
          <w:sz w:val="22"/>
        </w:rPr>
        <w:t>VP &gt;&gt; 1.0: The higher VP rises above 1.0, the greater the velocity increase needed to save the batch.</w:t>
      </w:r>
    </w:p>
    <w:p/>
    <w:p>
      <w:pPr>
        <w:pStyle w:val="Heading2"/>
        <w:jc w:val="left"/>
      </w:pPr>
      <w:r>
        <w:rPr>
          <w:b/>
          <w:color w:val="1F3864"/>
        </w:rPr>
        <w:t>4.3 Target Variable Construction — 3-Tier Fallback Logic</w:t>
      </w:r>
    </w:p>
    <w:p>
      <w:pPr>
        <w:spacing w:after="160" w:line="360" w:lineRule="auto"/>
      </w:pPr>
      <w:r>
        <w:rPr>
          <w:b w:val="0"/>
          <w:i w:val="0"/>
          <w:sz w:val="22"/>
        </w:rPr>
        <w:t>The binary label is constructed using a 3-tier fallback to ensure robustness across data configurations:</w:t>
      </w:r>
    </w:p>
    <w:p>
      <w:pPr>
        <w:pStyle w:val="ListBullet"/>
        <w:spacing w:after="80"/>
        <w:ind w:left="360"/>
      </w:pPr>
      <w:r>
        <w:rPr>
          <w:b/>
          <w:sz w:val="22"/>
        </w:rPr>
        <w:t xml:space="preserve">Tier 1 (Primary): </w:t>
      </w:r>
      <w:r>
        <w:rPr>
          <w:sz w:val="22"/>
        </w:rPr>
        <w:t xml:space="preserve"> [RAG Status-Based] If the data has a pre-computed RAG status (Red/Amber/Yellow/Green based on Residual Shelf Life), Red and Amber batches are labelled At Risk. This uses domain-specific pharma thresholds: Red (&lt;3 months RSL), Amber (4-6 months RSL).</w:t>
      </w:r>
    </w:p>
    <w:p>
      <w:pPr>
        <w:pStyle w:val="ListBullet"/>
        <w:spacing w:after="80"/>
        <w:ind w:left="360"/>
      </w:pPr>
      <w:r>
        <w:rPr>
          <w:b/>
          <w:sz w:val="22"/>
        </w:rPr>
        <w:t xml:space="preserve">Tier 2 (Fallback): </w:t>
      </w:r>
      <w:r>
        <w:rPr>
          <w:sz w:val="22"/>
        </w:rPr>
        <w:t xml:space="preserve"> [Velocity + DTE Rule] If no RAG column is present, label is: VP &gt; 1.0 OR (DTE &lt; 365 AND cover &gt; 50% of DTE). Directly captures mathematical expiry certainty.</w:t>
      </w:r>
    </w:p>
    <w:p>
      <w:pPr>
        <w:pStyle w:val="ListBullet"/>
        <w:spacing w:after="80"/>
        <w:ind w:left="360"/>
      </w:pPr>
      <w:r>
        <w:rPr>
          <w:b/>
          <w:sz w:val="22"/>
        </w:rPr>
        <w:t xml:space="preserve">Tier 3 (Emergency): </w:t>
      </w:r>
      <w:r>
        <w:rPr>
          <w:sz w:val="22"/>
        </w:rPr>
        <w:t xml:space="preserve"> [DTE Quantile] If Tier 2 produces &lt;5% positive labels (data sparsity), the bottom 35th percentile DTE is labelled At Risk. Ensures enough positive examples for model training.</w:t>
      </w:r>
    </w:p>
    <w:p/>
    <w:p>
      <w:pPr>
        <w:pStyle w:val="Heading2"/>
        <w:jc w:val="left"/>
      </w:pPr>
      <w:r>
        <w:rPr>
          <w:b/>
          <w:color w:val="1F3864"/>
        </w:rPr>
        <w:t>4.4 The Three Algorithms</w:t>
      </w:r>
    </w:p>
    <w:p>
      <w:pPr>
        <w:spacing w:after="120" w:line="360" w:lineRule="auto"/>
      </w:pPr>
      <w:r>
        <w:rPr>
          <w:b w:val="0"/>
          <w:i w:val="0"/>
          <w:sz w:val="22"/>
        </w:rPr>
        <w:t>We train three algorithms simultaneously and select the champion by Weighted F1 Score: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r>
              <w:rPr>
                <w:b/>
                <w:color w:val="FFFFFF"/>
                <w:sz w:val="20"/>
              </w:rPr>
              <w:t>Algorithm</w:t>
            </w:r>
          </w:p>
        </w:tc>
        <w:tc>
          <w:tcPr>
            <w:tcW w:type="dxa" w:w="2351"/>
            <w:shd w:val="clear" w:color="auto" w:fill="1F3864"/>
          </w:tcPr>
          <w:p>
            <w:r>
              <w:rPr>
                <w:b/>
                <w:color w:val="FFFFFF"/>
                <w:sz w:val="20"/>
              </w:rPr>
              <w:t>Configuration</w:t>
            </w:r>
          </w:p>
        </w:tc>
        <w:tc>
          <w:tcPr>
            <w:tcW w:type="dxa" w:w="2351"/>
            <w:shd w:val="clear" w:color="auto" w:fill="1F3864"/>
          </w:tcPr>
          <w:p>
            <w:r>
              <w:rPr>
                <w:b/>
                <w:color w:val="FFFFFF"/>
                <w:sz w:val="20"/>
              </w:rPr>
              <w:t>Strength</w:t>
            </w:r>
          </w:p>
        </w:tc>
        <w:tc>
          <w:tcPr>
            <w:tcW w:type="dxa" w:w="2351"/>
            <w:shd w:val="clear" w:color="auto" w:fill="1F3864"/>
          </w:tcPr>
          <w:p>
            <w:r>
              <w:rPr>
                <w:b/>
                <w:color w:val="FFFFFF"/>
                <w:sz w:val="20"/>
              </w:rPr>
              <w:t>Weakness in Pharma Context</w:t>
            </w:r>
          </w:p>
        </w:tc>
      </w:tr>
      <w:tr>
        <w:tc>
          <w:tcPr>
            <w:tcW w:type="dxa" w:w="2351"/>
            <w:vAlign w:val="center"/>
          </w:tcPr>
          <w:p>
            <w:r>
              <w:rPr>
                <w:b w:val="0"/>
                <w:sz w:val="19"/>
              </w:rPr>
              <w:t>Random Forest</w:t>
            </w:r>
          </w:p>
        </w:tc>
        <w:tc>
          <w:tcPr>
            <w:tcW w:type="dxa" w:w="2351"/>
            <w:vAlign w:val="center"/>
          </w:tcPr>
          <w:p>
            <w:r>
              <w:rPr>
                <w:b w:val="0"/>
                <w:sz w:val="19"/>
              </w:rPr>
              <w:t>80 trees, max depth 6, random_state=42, n_jobs=-1</w:t>
            </w:r>
          </w:p>
        </w:tc>
        <w:tc>
          <w:tcPr>
            <w:tcW w:type="dxa" w:w="2351"/>
            <w:vAlign w:val="center"/>
          </w:tcPr>
          <w:p>
            <w:r>
              <w:rPr>
                <w:b w:val="0"/>
                <w:sz w:val="19"/>
              </w:rPr>
              <w:t>Handles non-linear interactions. Naturally produces feature importance — interpretable by management. Robust to outliers.</w:t>
            </w:r>
          </w:p>
        </w:tc>
        <w:tc>
          <w:tcPr>
            <w:tcW w:type="dxa" w:w="2351"/>
            <w:vAlign w:val="center"/>
          </w:tcPr>
          <w:p>
            <w:r>
              <w:rPr>
                <w:b w:val="0"/>
                <w:sz w:val="19"/>
              </w:rPr>
              <w:t>Heavier compute. Can overfit on small datasets.</w:t>
            </w:r>
          </w:p>
        </w:tc>
      </w:tr>
      <w:tr>
        <w:tc>
          <w:tcPr>
            <w:tcW w:type="dxa" w:w="2351"/>
            <w:vAlign w:val="center"/>
          </w:tcPr>
          <w:p>
            <w:r>
              <w:rPr>
                <w:b w:val="0"/>
                <w:sz w:val="19"/>
              </w:rPr>
              <w:t>Gradient Boosting</w:t>
            </w:r>
          </w:p>
        </w:tc>
        <w:tc>
          <w:tcPr>
            <w:tcW w:type="dxa" w:w="2351"/>
            <w:vAlign w:val="center"/>
          </w:tcPr>
          <w:p>
            <w:r>
              <w:rPr>
                <w:b w:val="0"/>
                <w:sz w:val="19"/>
              </w:rPr>
              <w:t>40 trees, max depth 3, random_state=42</w:t>
            </w:r>
          </w:p>
        </w:tc>
        <w:tc>
          <w:tcPr>
            <w:tcW w:type="dxa" w:w="2351"/>
            <w:vAlign w:val="center"/>
          </w:tcPr>
          <w:p>
            <w:r>
              <w:rPr>
                <w:b w:val="0"/>
                <w:sz w:val="19"/>
              </w:rPr>
              <w:t>Sequential error correction makes it highly accurate. Shallower trees reduce overfitting risk on tabular data.</w:t>
            </w:r>
          </w:p>
        </w:tc>
        <w:tc>
          <w:tcPr>
            <w:tcW w:type="dxa" w:w="2351"/>
            <w:vAlign w:val="center"/>
          </w:tcPr>
          <w:p>
            <w:r>
              <w:rPr>
                <w:b w:val="0"/>
                <w:sz w:val="19"/>
              </w:rPr>
              <w:t>Slower training. Less interpretable than RF. Sensitive to velocity outliers.</w:t>
            </w:r>
          </w:p>
        </w:tc>
      </w:tr>
      <w:tr>
        <w:tc>
          <w:tcPr>
            <w:tcW w:type="dxa" w:w="2351"/>
            <w:vAlign w:val="center"/>
          </w:tcPr>
          <w:p>
            <w:r>
              <w:rPr>
                <w:b w:val="0"/>
                <w:sz w:val="19"/>
              </w:rPr>
              <w:t>Logistic Regression L2</w:t>
            </w:r>
          </w:p>
        </w:tc>
        <w:tc>
          <w:tcPr>
            <w:tcW w:type="dxa" w:w="2351"/>
            <w:vAlign w:val="center"/>
          </w:tcPr>
          <w:p>
            <w:r>
              <w:rPr>
                <w:b w:val="0"/>
                <w:sz w:val="19"/>
              </w:rPr>
              <w:t>max_iter=300, L2 regularisation, StandardScaler applied</w:t>
            </w:r>
          </w:p>
        </w:tc>
        <w:tc>
          <w:tcPr>
            <w:tcW w:type="dxa" w:w="2351"/>
            <w:vAlign w:val="center"/>
          </w:tcPr>
          <w:p>
            <w:r>
              <w:rPr>
                <w:b w:val="0"/>
                <w:sz w:val="19"/>
              </w:rPr>
              <w:t>Fully interpretable — each coefficient shows linear marginal effect. Very fast. Works well when features are well-scaled.</w:t>
            </w:r>
          </w:p>
        </w:tc>
        <w:tc>
          <w:tcPr>
            <w:tcW w:type="dxa" w:w="2351"/>
            <w:vAlign w:val="center"/>
          </w:tcPr>
          <w:p>
            <w:r>
              <w:rPr>
                <w:b w:val="0"/>
                <w:sz w:val="19"/>
              </w:rPr>
              <w:t>Assumes linearity. Cannot capture the threshold behaviour of VP=1.0 without explicit feature engineering.</w:t>
            </w:r>
          </w:p>
        </w:tc>
      </w:tr>
    </w:tbl>
    <w:p/>
    <w:p>
      <w:pPr>
        <w:pStyle w:val="Heading2"/>
        <w:jc w:val="left"/>
      </w:pPr>
      <w:r>
        <w:rPr>
          <w:b/>
          <w:color w:val="1F3864"/>
        </w:rPr>
        <w:t>4.5 Training Methodology</w:t>
      </w:r>
    </w:p>
    <w:p>
      <w:pPr>
        <w:pStyle w:val="ListBullet"/>
        <w:spacing w:after="80"/>
        <w:ind w:left="360"/>
      </w:pPr>
      <w:r>
        <w:rPr>
          <w:sz w:val="22"/>
        </w:rPr>
        <w:t>75% training / 25% test split, stratified to preserve class balance in both sets.</w:t>
      </w:r>
    </w:p>
    <w:p>
      <w:pPr>
        <w:pStyle w:val="ListBullet"/>
        <w:spacing w:after="80"/>
        <w:ind w:left="360"/>
      </w:pPr>
      <w:r>
        <w:rPr>
          <w:sz w:val="22"/>
        </w:rPr>
        <w:t>StandardScaler applied to Logistic Regression only (Random Forest and Gradient Boosting are scale-invariant decision tree ensembles).</w:t>
      </w:r>
    </w:p>
    <w:p>
      <w:pPr>
        <w:pStyle w:val="ListBullet"/>
        <w:spacing w:after="80"/>
        <w:ind w:left="360"/>
      </w:pPr>
      <w:r>
        <w:rPr>
          <w:sz w:val="22"/>
        </w:rPr>
        <w:t>Champion model selected by highest Weighted F1 Score on the held-out test set.</w:t>
      </w:r>
    </w:p>
    <w:p>
      <w:pPr>
        <w:pStyle w:val="ListBullet"/>
        <w:spacing w:after="80"/>
        <w:ind w:left="360"/>
      </w:pPr>
      <w:r>
        <w:rPr>
          <w:sz w:val="22"/>
        </w:rPr>
        <w:t>Full-dataset predict_proba() called on all batches (train + test combined) to generate probability scores for every active batch in the live portfolio.</w:t>
      </w:r>
    </w:p>
    <w:p/>
    <w:tbl>
      <w:tblPr>
        <w:tblStyle w:val="TableGrid"/>
        <w:tblW w:type="auto" w:w="0"/>
        <w:tblLook w:firstColumn="1" w:firstRow="1" w:lastColumn="0" w:lastRow="0" w:noHBand="0" w:noVBand="1" w:val="04A0"/>
      </w:tblPr>
      <w:tblGrid>
        <w:gridCol w:w="9406"/>
      </w:tblGrid>
      <w:tr>
        <w:tc>
          <w:tcPr>
            <w:tcW w:type="dxa" w:w="9406"/>
            <w:shd w:val="clear" w:color="auto" w:fill="F5F3FF"/>
          </w:tcPr>
          <w:p>
            <w:r>
              <w:rPr>
                <w:b/>
                <w:color w:val="1F3864"/>
                <w:sz w:val="22"/>
              </w:rPr>
              <w:t xml:space="preserve">  Why Weighted F1 and Not Accuracy?</w:t>
            </w:r>
          </w:p>
          <w:p>
            <w:r>
              <w:rPr>
                <w:color w:val="334155"/>
                <w:sz w:val="21"/>
              </w:rPr>
              <w:t xml:space="preserve">  In pharma, a False Negative (missed at-risk batch = write-off) costs far more than a False Positive (flagged safe batch = unnecessary but low-cost intervention). Weighted F1 penalises both precision and recall failures. It is the appropriate champion-selection metric for an imbalanced binary problem where missing a write-off is the worst outcome.</w:t>
            </w:r>
          </w:p>
        </w:tc>
      </w:tr>
    </w:tbl>
    <w:p/>
    <w:p>
      <w:r>
        <w:br w:type="page"/>
      </w:r>
    </w:p>
    <w:p>
      <w:pPr>
        <w:pStyle w:val="Heading1"/>
        <w:jc w:val="left"/>
      </w:pPr>
      <w:r>
        <w:rPr>
          <w:b/>
          <w:color w:val="1F3864"/>
        </w:rPr>
        <w:t>5. How We Address Demand Uncertainty</w:t>
      </w:r>
    </w:p>
    <w:p>
      <w:pPr>
        <w:spacing w:after="160" w:line="360" w:lineRule="auto"/>
      </w:pPr>
      <w:r>
        <w:rPr>
          <w:b w:val="0"/>
          <w:i w:val="0"/>
          <w:sz w:val="22"/>
        </w:rPr>
        <w:t>Given that demand is inherently unpredictable in pharma (Section 3), PharmaTrace addresses this through two complementary mechanisms: Demand Scenario Analysis (Level 1) and Probability Bands from predict_proba() (Level 2). Together, these replace false binary certainty with a nuanced, actionable risk picture.</w:t>
      </w:r>
    </w:p>
    <w:p>
      <w:pPr>
        <w:pStyle w:val="Heading2"/>
        <w:jc w:val="left"/>
      </w:pPr>
      <w:r>
        <w:rPr>
          <w:b/>
          <w:color w:val="1F3864"/>
        </w:rPr>
        <w:t>5.1 Level 1 — Demand Scenario Analysis (Stress Testing)</w:t>
      </w:r>
    </w:p>
    <w:p>
      <w:pPr>
        <w:spacing w:after="160" w:line="360" w:lineRule="auto"/>
      </w:pPr>
      <w:r>
        <w:rPr>
          <w:b w:val="0"/>
          <w:i w:val="0"/>
          <w:sz w:val="22"/>
        </w:rPr>
        <w:t>A demand scenario toggle stress-tests the classifier under three conditions by adjusting avg_monthly_dispatch velocity and recomputing cover_days and velocity_pressure: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r>
              <w:rPr>
                <w:b/>
                <w:color w:val="FFFFFF"/>
                <w:sz w:val="20"/>
              </w:rPr>
              <w:t>Scenario</w:t>
            </w:r>
          </w:p>
        </w:tc>
        <w:tc>
          <w:tcPr>
            <w:tcW w:type="dxa" w:w="1881"/>
            <w:shd w:val="clear" w:color="auto" w:fill="1F3864"/>
          </w:tcPr>
          <w:p>
            <w:r>
              <w:rPr>
                <w:b/>
                <w:color w:val="FFFFFF"/>
                <w:sz w:val="20"/>
              </w:rPr>
              <w:t>Velocity Adjustment</w:t>
            </w:r>
          </w:p>
        </w:tc>
        <w:tc>
          <w:tcPr>
            <w:tcW w:type="dxa" w:w="1881"/>
            <w:shd w:val="clear" w:color="auto" w:fill="1F3864"/>
          </w:tcPr>
          <w:p>
            <w:r>
              <w:rPr>
                <w:b/>
                <w:color w:val="FFFFFF"/>
                <w:sz w:val="20"/>
              </w:rPr>
              <w:t>Pharma Trigger</w:t>
            </w:r>
          </w:p>
        </w:tc>
        <w:tc>
          <w:tcPr>
            <w:tcW w:type="dxa" w:w="1881"/>
            <w:shd w:val="clear" w:color="auto" w:fill="1F3864"/>
          </w:tcPr>
          <w:p>
            <w:r>
              <w:rPr>
                <w:b/>
                <w:color w:val="FFFFFF"/>
                <w:sz w:val="20"/>
              </w:rPr>
              <w:t>At-Risk Count</w:t>
            </w:r>
          </w:p>
        </w:tc>
        <w:tc>
          <w:tcPr>
            <w:tcW w:type="dxa" w:w="1881"/>
            <w:shd w:val="clear" w:color="auto" w:fill="1F3864"/>
          </w:tcPr>
          <w:p>
            <w:r>
              <w:rPr>
                <w:b/>
                <w:color w:val="FFFFFF"/>
                <w:sz w:val="20"/>
              </w:rPr>
              <w:t>Use Case</w:t>
            </w:r>
          </w:p>
        </w:tc>
      </w:tr>
      <w:tr>
        <w:tc>
          <w:tcPr>
            <w:tcW w:type="dxa" w:w="1881"/>
            <w:vAlign w:val="center"/>
          </w:tcPr>
          <w:p>
            <w:r>
              <w:rPr>
                <w:b w:val="0"/>
                <w:sz w:val="19"/>
              </w:rPr>
              <w:t>Pessimistic</w:t>
            </w:r>
          </w:p>
        </w:tc>
        <w:tc>
          <w:tcPr>
            <w:tcW w:type="dxa" w:w="1881"/>
            <w:vAlign w:val="center"/>
          </w:tcPr>
          <w:p>
            <w:r>
              <w:rPr>
                <w:b w:val="0"/>
                <w:sz w:val="19"/>
              </w:rPr>
              <w:t>-1.5 sigma (~37.5% drop)</w:t>
            </w:r>
          </w:p>
        </w:tc>
        <w:tc>
          <w:tcPr>
            <w:tcW w:type="dxa" w:w="1881"/>
            <w:vAlign w:val="center"/>
          </w:tcPr>
          <w:p>
            <w:r>
              <w:rPr>
                <w:b w:val="0"/>
                <w:sz w:val="19"/>
              </w:rPr>
              <w:t>Seasonal trough, tender loss, competitor drug launch</w:t>
            </w:r>
          </w:p>
        </w:tc>
        <w:tc>
          <w:tcPr>
            <w:tcW w:type="dxa" w:w="1881"/>
            <w:vAlign w:val="center"/>
          </w:tcPr>
          <w:p>
            <w:r>
              <w:rPr>
                <w:b w:val="0"/>
                <w:sz w:val="19"/>
              </w:rPr>
              <w:t>HIGHEST — worst case</w:t>
            </w:r>
          </w:p>
        </w:tc>
        <w:tc>
          <w:tcPr>
            <w:tcW w:type="dxa" w:w="1881"/>
            <w:vAlign w:val="center"/>
          </w:tcPr>
          <w:p>
            <w:r>
              <w:rPr>
                <w:b w:val="0"/>
                <w:sz w:val="19"/>
              </w:rPr>
              <w:t>Quantify maximum capital at risk for board or CFO reporting</w:t>
            </w:r>
          </w:p>
        </w:tc>
      </w:tr>
      <w:tr>
        <w:tc>
          <w:tcPr>
            <w:tcW w:type="dxa" w:w="1881"/>
            <w:vAlign w:val="center"/>
          </w:tcPr>
          <w:p>
            <w:r>
              <w:rPr>
                <w:b w:val="0"/>
                <w:sz w:val="19"/>
              </w:rPr>
              <w:t>Base Case</w:t>
            </w:r>
          </w:p>
        </w:tc>
        <w:tc>
          <w:tcPr>
            <w:tcW w:type="dxa" w:w="1881"/>
            <w:vAlign w:val="center"/>
          </w:tcPr>
          <w:p>
            <w:r>
              <w:rPr>
                <w:b w:val="0"/>
                <w:sz w:val="19"/>
              </w:rPr>
              <w:t>No change (24-month avg)</w:t>
            </w:r>
          </w:p>
        </w:tc>
        <w:tc>
          <w:tcPr>
            <w:tcW w:type="dxa" w:w="1881"/>
            <w:vAlign w:val="center"/>
          </w:tcPr>
          <w:p>
            <w:r>
              <w:rPr>
                <w:b w:val="0"/>
                <w:sz w:val="19"/>
              </w:rPr>
              <w:t>Historical average — model default</w:t>
            </w:r>
          </w:p>
        </w:tc>
        <w:tc>
          <w:tcPr>
            <w:tcW w:type="dxa" w:w="1881"/>
            <w:vAlign w:val="center"/>
          </w:tcPr>
          <w:p>
            <w:r>
              <w:rPr>
                <w:b w:val="0"/>
                <w:sz w:val="19"/>
              </w:rPr>
              <w:t>Standard</w:t>
            </w:r>
          </w:p>
        </w:tc>
        <w:tc>
          <w:tcPr>
            <w:tcW w:type="dxa" w:w="1881"/>
            <w:vAlign w:val="center"/>
          </w:tcPr>
          <w:p>
            <w:r>
              <w:rPr>
                <w:b w:val="0"/>
                <w:sz w:val="19"/>
              </w:rPr>
              <w:t>Day-to-day warehouse management baseline</w:t>
            </w:r>
          </w:p>
        </w:tc>
      </w:tr>
      <w:tr>
        <w:tc>
          <w:tcPr>
            <w:tcW w:type="dxa" w:w="1881"/>
            <w:vAlign w:val="center"/>
          </w:tcPr>
          <w:p>
            <w:r>
              <w:rPr>
                <w:b w:val="0"/>
                <w:sz w:val="19"/>
              </w:rPr>
              <w:t>Optimistic</w:t>
            </w:r>
          </w:p>
        </w:tc>
        <w:tc>
          <w:tcPr>
            <w:tcW w:type="dxa" w:w="1881"/>
            <w:vAlign w:val="center"/>
          </w:tcPr>
          <w:p>
            <w:r>
              <w:rPr>
                <w:b w:val="0"/>
                <w:sz w:val="19"/>
              </w:rPr>
              <w:t>+1 sigma (~25% increase)</w:t>
            </w:r>
          </w:p>
        </w:tc>
        <w:tc>
          <w:tcPr>
            <w:tcW w:type="dxa" w:w="1881"/>
            <w:vAlign w:val="center"/>
          </w:tcPr>
          <w:p>
            <w:r>
              <w:rPr>
                <w:b w:val="0"/>
                <w:sz w:val="19"/>
              </w:rPr>
              <w:t>Disease outbreak, tender win, promo campaign</w:t>
            </w:r>
          </w:p>
        </w:tc>
        <w:tc>
          <w:tcPr>
            <w:tcW w:type="dxa" w:w="1881"/>
            <w:vAlign w:val="center"/>
          </w:tcPr>
          <w:p>
            <w:r>
              <w:rPr>
                <w:b w:val="0"/>
                <w:sz w:val="19"/>
              </w:rPr>
              <w:t>LOWEST — best case</w:t>
            </w:r>
          </w:p>
        </w:tc>
        <w:tc>
          <w:tcPr>
            <w:tcW w:type="dxa" w:w="1881"/>
            <w:vAlign w:val="center"/>
          </w:tcPr>
          <w:p>
            <w:r>
              <w:rPr>
                <w:b w:val="0"/>
                <w:sz w:val="19"/>
              </w:rPr>
              <w:t>Show how many batches become safe if demand interventions succeed</w:t>
            </w:r>
          </w:p>
        </w:tc>
      </w:tr>
    </w:tbl>
    <w:p/>
    <w:p>
      <w:pPr>
        <w:spacing w:after="200" w:line="360" w:lineRule="auto"/>
      </w:pPr>
      <w:r>
        <w:rPr>
          <w:b w:val="0"/>
          <w:i/>
          <w:color w:val="475569"/>
          <w:sz w:val="20"/>
        </w:rPr>
        <w:t>The velocity standard deviation is approximated as 25% of the mean — a conservative coefficient of variation typical of prescription pharmaceutical products. For OTC and seasonal products, actual CV may be 40-80%, making the pessimistic scenario more severe in practice.</w:t>
      </w:r>
    </w:p>
    <w:p>
      <w:pPr>
        <w:pStyle w:val="Heading2"/>
        <w:jc w:val="left"/>
      </w:pPr>
      <w:r>
        <w:rPr>
          <w:b/>
          <w:color w:val="1F3864"/>
        </w:rPr>
        <w:t>5.2 Level 2 — Risk Probability Bands (from predict_proba)</w:t>
      </w:r>
    </w:p>
    <w:p>
      <w:pPr>
        <w:spacing w:after="160" w:line="360" w:lineRule="auto"/>
      </w:pPr>
      <w:r>
        <w:rPr>
          <w:b w:val="0"/>
          <w:i w:val="0"/>
          <w:sz w:val="22"/>
        </w:rPr>
        <w:t>The champion classifier's predict_proba() method returns a probability P(At Risk) for every batch — a value between 0.0 and 1.0. We bucket these into 4 probability bands that directly drive management action: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r>
              <w:rPr>
                <w:b/>
                <w:color w:val="FFFFFF"/>
                <w:sz w:val="20"/>
              </w:rPr>
              <w:t>Band</w:t>
            </w:r>
          </w:p>
        </w:tc>
        <w:tc>
          <w:tcPr>
            <w:tcW w:type="dxa" w:w="1881"/>
            <w:shd w:val="clear" w:color="auto" w:fill="1F3864"/>
          </w:tcPr>
          <w:p>
            <w:r>
              <w:rPr>
                <w:b/>
                <w:color w:val="FFFFFF"/>
                <w:sz w:val="20"/>
              </w:rPr>
              <w:t>Probability</w:t>
            </w:r>
          </w:p>
        </w:tc>
        <w:tc>
          <w:tcPr>
            <w:tcW w:type="dxa" w:w="1881"/>
            <w:shd w:val="clear" w:color="auto" w:fill="1F3864"/>
          </w:tcPr>
          <w:p>
            <w:r>
              <w:rPr>
                <w:b/>
                <w:color w:val="FFFFFF"/>
                <w:sz w:val="20"/>
              </w:rPr>
              <w:t>Interpretation</w:t>
            </w:r>
          </w:p>
        </w:tc>
        <w:tc>
          <w:tcPr>
            <w:tcW w:type="dxa" w:w="1881"/>
            <w:shd w:val="clear" w:color="auto" w:fill="1F3864"/>
          </w:tcPr>
          <w:p>
            <w:r>
              <w:rPr>
                <w:b/>
                <w:color w:val="FFFFFF"/>
                <w:sz w:val="20"/>
              </w:rPr>
              <w:t>Urgency</w:t>
            </w:r>
          </w:p>
        </w:tc>
        <w:tc>
          <w:tcPr>
            <w:tcW w:type="dxa" w:w="1881"/>
            <w:shd w:val="clear" w:color="auto" w:fill="1F3864"/>
          </w:tcPr>
          <w:p>
            <w:r>
              <w:rPr>
                <w:b/>
                <w:color w:val="FFFFFF"/>
                <w:sz w:val="20"/>
              </w:rPr>
              <w:t>Required Action</w:t>
            </w:r>
          </w:p>
        </w:tc>
      </w:tr>
      <w:tr>
        <w:tc>
          <w:tcPr>
            <w:tcW w:type="dxa" w:w="1881"/>
            <w:vAlign w:val="center"/>
          </w:tcPr>
          <w:p>
            <w:r>
              <w:rPr>
                <w:b w:val="0"/>
                <w:sz w:val="19"/>
              </w:rPr>
              <w:t>DEFINITE RISK</w:t>
            </w:r>
          </w:p>
        </w:tc>
        <w:tc>
          <w:tcPr>
            <w:tcW w:type="dxa" w:w="1881"/>
            <w:vAlign w:val="center"/>
          </w:tcPr>
          <w:p>
            <w:r>
              <w:rPr>
                <w:b w:val="0"/>
                <w:sz w:val="19"/>
              </w:rPr>
              <w:t>&gt; 80%</w:t>
            </w:r>
          </w:p>
        </w:tc>
        <w:tc>
          <w:tcPr>
            <w:tcW w:type="dxa" w:w="1881"/>
            <w:vAlign w:val="center"/>
          </w:tcPr>
          <w:p>
            <w:r>
              <w:rPr>
                <w:b w:val="0"/>
                <w:sz w:val="19"/>
              </w:rPr>
              <w:t>Model is highly confident this batch will expire before selling, even under optimistic demand assumptions.</w:t>
            </w:r>
          </w:p>
        </w:tc>
        <w:tc>
          <w:tcPr>
            <w:tcW w:type="dxa" w:w="1881"/>
            <w:vAlign w:val="center"/>
          </w:tcPr>
          <w:p>
            <w:r>
              <w:rPr>
                <w:b w:val="0"/>
                <w:sz w:val="19"/>
              </w:rPr>
              <w:t>IMMEDIATE - 72 hrs</w:t>
            </w:r>
          </w:p>
        </w:tc>
        <w:tc>
          <w:tcPr>
            <w:tcW w:type="dxa" w:w="1881"/>
            <w:vAlign w:val="center"/>
          </w:tcPr>
          <w:p>
            <w:r>
              <w:rPr>
                <w:b w:val="0"/>
                <w:sz w:val="19"/>
              </w:rPr>
              <w:t>Mandatory liquidation, emergency inter-warehouse transfer, or certified destruction. Escalate to supply chain director.</w:t>
            </w:r>
          </w:p>
        </w:tc>
      </w:tr>
      <w:tr>
        <w:tc>
          <w:tcPr>
            <w:tcW w:type="dxa" w:w="1881"/>
            <w:vAlign w:val="center"/>
          </w:tcPr>
          <w:p>
            <w:r>
              <w:rPr>
                <w:b w:val="0"/>
                <w:sz w:val="19"/>
              </w:rPr>
              <w:t>LIKELY RISK</w:t>
            </w:r>
          </w:p>
        </w:tc>
        <w:tc>
          <w:tcPr>
            <w:tcW w:type="dxa" w:w="1881"/>
            <w:vAlign w:val="center"/>
          </w:tcPr>
          <w:p>
            <w:r>
              <w:rPr>
                <w:b w:val="0"/>
                <w:sz w:val="19"/>
              </w:rPr>
              <w:t>50 to 80%</w:t>
            </w:r>
          </w:p>
        </w:tc>
        <w:tc>
          <w:tcPr>
            <w:tcW w:type="dxa" w:w="1881"/>
            <w:vAlign w:val="center"/>
          </w:tcPr>
          <w:p>
            <w:r>
              <w:rPr>
                <w:b w:val="0"/>
                <w:sz w:val="19"/>
              </w:rPr>
              <w:t>Clear structural risk: velocity is insufficient relative to shelf life, but demand improvement could still save this batch.</w:t>
            </w:r>
          </w:p>
        </w:tc>
        <w:tc>
          <w:tcPr>
            <w:tcW w:type="dxa" w:w="1881"/>
            <w:vAlign w:val="center"/>
          </w:tcPr>
          <w:p>
            <w:r>
              <w:rPr>
                <w:b w:val="0"/>
                <w:sz w:val="19"/>
              </w:rPr>
              <w:t>URGENT - this week</w:t>
            </w:r>
          </w:p>
        </w:tc>
        <w:tc>
          <w:tcPr>
            <w:tcW w:type="dxa" w:w="1881"/>
            <w:vAlign w:val="center"/>
          </w:tcPr>
          <w:p>
            <w:r>
              <w:rPr>
                <w:b w:val="0"/>
                <w:sz w:val="19"/>
              </w:rPr>
              <w:t>Schedule redistribution to high-velocity DC. Assign channel push program. Review pricing.</w:t>
            </w:r>
          </w:p>
        </w:tc>
      </w:tr>
      <w:tr>
        <w:tc>
          <w:tcPr>
            <w:tcW w:type="dxa" w:w="1881"/>
            <w:vAlign w:val="center"/>
          </w:tcPr>
          <w:p>
            <w:r>
              <w:rPr>
                <w:b w:val="0"/>
                <w:sz w:val="19"/>
              </w:rPr>
              <w:t>UNCERTAIN</w:t>
            </w:r>
          </w:p>
        </w:tc>
        <w:tc>
          <w:tcPr>
            <w:tcW w:type="dxa" w:w="1881"/>
            <w:vAlign w:val="center"/>
          </w:tcPr>
          <w:p>
            <w:r>
              <w:rPr>
                <w:b w:val="0"/>
                <w:sz w:val="19"/>
              </w:rPr>
              <w:t>20 to 50%</w:t>
            </w:r>
          </w:p>
        </w:tc>
        <w:tc>
          <w:tcPr>
            <w:tcW w:type="dxa" w:w="1881"/>
            <w:vAlign w:val="center"/>
          </w:tcPr>
          <w:p>
            <w:r>
              <w:rPr>
                <w:b w:val="0"/>
                <w:sz w:val="19"/>
              </w:rPr>
              <w:t>Outcome is genuinely demand-dependent. Will sell under base or optimistic demand. Will expire under pessimistic conditions.</w:t>
            </w:r>
          </w:p>
        </w:tc>
        <w:tc>
          <w:tcPr>
            <w:tcW w:type="dxa" w:w="1881"/>
            <w:vAlign w:val="center"/>
          </w:tcPr>
          <w:p>
            <w:r>
              <w:rPr>
                <w:b w:val="0"/>
                <w:sz w:val="19"/>
              </w:rPr>
              <w:t>MONITOR - weekly</w:t>
            </w:r>
          </w:p>
        </w:tc>
        <w:tc>
          <w:tcPr>
            <w:tcW w:type="dxa" w:w="1881"/>
            <w:vAlign w:val="center"/>
          </w:tcPr>
          <w:p>
            <w:r>
              <w:rPr>
                <w:b w:val="0"/>
                <w:sz w:val="19"/>
              </w:rPr>
              <w:t>Weekly velocity review. Track dispatch trend. Assign promotional allocation. No liquidation yet.</w:t>
            </w:r>
          </w:p>
        </w:tc>
      </w:tr>
      <w:tr>
        <w:tc>
          <w:tcPr>
            <w:tcW w:type="dxa" w:w="1881"/>
            <w:vAlign w:val="center"/>
          </w:tcPr>
          <w:p>
            <w:r>
              <w:rPr>
                <w:b w:val="0"/>
                <w:sz w:val="19"/>
              </w:rPr>
              <w:t>ON TRACK</w:t>
            </w:r>
          </w:p>
        </w:tc>
        <w:tc>
          <w:tcPr>
            <w:tcW w:type="dxa" w:w="1881"/>
            <w:vAlign w:val="center"/>
          </w:tcPr>
          <w:p>
            <w:r>
              <w:rPr>
                <w:b w:val="0"/>
                <w:sz w:val="19"/>
              </w:rPr>
              <w:t>&lt; 20%</w:t>
            </w:r>
          </w:p>
        </w:tc>
        <w:tc>
          <w:tcPr>
            <w:tcW w:type="dxa" w:w="1881"/>
            <w:vAlign w:val="center"/>
          </w:tcPr>
          <w:p>
            <w:r>
              <w:rPr>
                <w:b w:val="0"/>
                <w:sz w:val="19"/>
              </w:rPr>
              <w:t>Model is confident this batch will sell through before expiry under current or worse demand conditions.</w:t>
            </w:r>
          </w:p>
        </w:tc>
        <w:tc>
          <w:tcPr>
            <w:tcW w:type="dxa" w:w="1881"/>
            <w:vAlign w:val="center"/>
          </w:tcPr>
          <w:p>
            <w:r>
              <w:rPr>
                <w:b w:val="0"/>
                <w:sz w:val="19"/>
              </w:rPr>
              <w:t>LOW - standard</w:t>
            </w:r>
          </w:p>
        </w:tc>
        <w:tc>
          <w:tcPr>
            <w:tcW w:type="dxa" w:w="1881"/>
            <w:vAlign w:val="center"/>
          </w:tcPr>
          <w:p>
            <w:r>
              <w:rPr>
                <w:b w:val="0"/>
                <w:sz w:val="19"/>
              </w:rPr>
              <w:t>Standard FEFO management. No intervention required. Monthly review cycle.</w:t>
            </w:r>
          </w:p>
        </w:tc>
      </w:tr>
    </w:tbl>
    <w:p/>
    <w:tbl>
      <w:tblPr>
        <w:tblStyle w:val="TableGrid"/>
        <w:tblW w:type="auto" w:w="0"/>
        <w:tblLook w:firstColumn="1" w:firstRow="1" w:lastColumn="0" w:lastRow="0" w:noHBand="0" w:noVBand="1" w:val="04A0"/>
      </w:tblPr>
      <w:tblGrid>
        <w:gridCol w:w="9406"/>
      </w:tblGrid>
      <w:tr>
        <w:tc>
          <w:tcPr>
            <w:tcW w:type="dxa" w:w="9406"/>
            <w:shd w:val="clear" w:color="auto" w:fill="F5F3FF"/>
          </w:tcPr>
          <w:p>
            <w:r>
              <w:rPr>
                <w:b/>
                <w:color w:val="7C3AED"/>
                <w:sz w:val="22"/>
              </w:rPr>
              <w:t xml:space="preserve">  Why Probability Bands Are Better Than a Binary Label:</w:t>
            </w:r>
          </w:p>
          <w:p>
            <w:r>
              <w:rPr>
                <w:color w:val="334155"/>
                <w:sz w:val="21"/>
              </w:rPr>
              <w:t xml:space="preserve">  A binary label forces a single hard threshold — batches just below 50% probability are 'Safe' while those just above are 'At Risk', even though the model sees almost identical evidence for both. Probability bands expose this uncertainty honestly, allow proportionate response (not every 'At Risk' batch needs emergency liquidation), and quantify the dollar exposure within each confidence tier — giving management a risk-adjusted capital view rather than a binary alarm.</w:t>
            </w:r>
          </w:p>
        </w:tc>
      </w:tr>
    </w:tbl>
    <w:p/>
    <w:p>
      <w:r>
        <w:br w:type="page"/>
      </w:r>
    </w:p>
    <w:p>
      <w:pPr>
        <w:pStyle w:val="Heading1"/>
        <w:jc w:val="left"/>
      </w:pPr>
      <w:r>
        <w:rPr>
          <w:b/>
          <w:color w:val="1F3864"/>
        </w:rPr>
        <w:t>6. Feature Importance — What the Model Tells Management</w:t>
      </w:r>
    </w:p>
    <w:p>
      <w:pPr>
        <w:spacing w:after="160" w:line="360" w:lineRule="auto"/>
      </w:pPr>
      <w:r>
        <w:rPr>
          <w:b w:val="0"/>
          <w:i w:val="0"/>
          <w:sz w:val="22"/>
        </w:rPr>
        <w:t>Feature importance from the Random Forest (or Gradient Boosting) model ranks which operational variables most strongly predict expiry. These are not statistical artefacts — they are the levers management can actually pull:</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r>
              <w:rPr>
                <w:b/>
                <w:color w:val="FFFFFF"/>
                <w:sz w:val="20"/>
              </w:rPr>
              <w:t>Rank</w:t>
            </w:r>
          </w:p>
        </w:tc>
        <w:tc>
          <w:tcPr>
            <w:tcW w:type="dxa" w:w="2351"/>
            <w:shd w:val="clear" w:color="auto" w:fill="1F3864"/>
          </w:tcPr>
          <w:p>
            <w:r>
              <w:rPr>
                <w:b/>
                <w:color w:val="FFFFFF"/>
                <w:sz w:val="20"/>
              </w:rPr>
              <w:t>Feature</w:t>
            </w:r>
          </w:p>
        </w:tc>
        <w:tc>
          <w:tcPr>
            <w:tcW w:type="dxa" w:w="2351"/>
            <w:shd w:val="clear" w:color="auto" w:fill="1F3864"/>
          </w:tcPr>
          <w:p>
            <w:r>
              <w:rPr>
                <w:b/>
                <w:color w:val="FFFFFF"/>
                <w:sz w:val="20"/>
              </w:rPr>
              <w:t>Typical Importance</w:t>
            </w:r>
          </w:p>
        </w:tc>
        <w:tc>
          <w:tcPr>
            <w:tcW w:type="dxa" w:w="2351"/>
            <w:shd w:val="clear" w:color="auto" w:fill="1F3864"/>
          </w:tcPr>
          <w:p>
            <w:r>
              <w:rPr>
                <w:b/>
                <w:color w:val="FFFFFF"/>
                <w:sz w:val="20"/>
              </w:rPr>
              <w:t>Management Action</w:t>
            </w:r>
          </w:p>
        </w:tc>
      </w:tr>
      <w:tr>
        <w:tc>
          <w:tcPr>
            <w:tcW w:type="dxa" w:w="2351"/>
            <w:vAlign w:val="center"/>
          </w:tcPr>
          <w:p>
            <w:r>
              <w:rPr>
                <w:b w:val="0"/>
                <w:sz w:val="19"/>
              </w:rPr>
              <w:t>#1</w:t>
            </w:r>
          </w:p>
        </w:tc>
        <w:tc>
          <w:tcPr>
            <w:tcW w:type="dxa" w:w="2351"/>
            <w:vAlign w:val="center"/>
          </w:tcPr>
          <w:p>
            <w:r>
              <w:rPr>
                <w:b w:val="0"/>
                <w:sz w:val="19"/>
              </w:rPr>
              <w:t>Velocity Pressure (Cover/DTE)</w:t>
            </w:r>
          </w:p>
        </w:tc>
        <w:tc>
          <w:tcPr>
            <w:tcW w:type="dxa" w:w="2351"/>
            <w:vAlign w:val="center"/>
          </w:tcPr>
          <w:p>
            <w:r>
              <w:rPr>
                <w:b w:val="0"/>
                <w:sz w:val="19"/>
              </w:rPr>
              <w:t>25-35%</w:t>
            </w:r>
          </w:p>
        </w:tc>
        <w:tc>
          <w:tcPr>
            <w:tcW w:type="dxa" w:w="2351"/>
            <w:vAlign w:val="center"/>
          </w:tcPr>
          <w:p>
            <w:r>
              <w:rPr>
                <w:b w:val="0"/>
                <w:sz w:val="19"/>
              </w:rPr>
              <w:t>VP &gt; 1.0 = certain expiry. VP 0.7-1.0 = intervention window. Reduce by increasing velocity or reducing stock on hand.</w:t>
            </w:r>
          </w:p>
        </w:tc>
      </w:tr>
      <w:tr>
        <w:tc>
          <w:tcPr>
            <w:tcW w:type="dxa" w:w="2351"/>
            <w:vAlign w:val="center"/>
          </w:tcPr>
          <w:p>
            <w:r>
              <w:rPr>
                <w:b w:val="0"/>
                <w:sz w:val="19"/>
              </w:rPr>
              <w:t>#2</w:t>
            </w:r>
          </w:p>
        </w:tc>
        <w:tc>
          <w:tcPr>
            <w:tcW w:type="dxa" w:w="2351"/>
            <w:vAlign w:val="center"/>
          </w:tcPr>
          <w:p>
            <w:r>
              <w:rPr>
                <w:b w:val="0"/>
                <w:sz w:val="19"/>
              </w:rPr>
              <w:t>Stock Coverage (Cover Days)</w:t>
            </w:r>
          </w:p>
        </w:tc>
        <w:tc>
          <w:tcPr>
            <w:tcW w:type="dxa" w:w="2351"/>
            <w:vAlign w:val="center"/>
          </w:tcPr>
          <w:p>
            <w:r>
              <w:rPr>
                <w:b w:val="0"/>
                <w:sz w:val="19"/>
              </w:rPr>
              <w:t>18-25%</w:t>
            </w:r>
          </w:p>
        </w:tc>
        <w:tc>
          <w:tcPr>
            <w:tcW w:type="dxa" w:w="2351"/>
            <w:vAlign w:val="center"/>
          </w:tcPr>
          <w:p>
            <w:r>
              <w:rPr>
                <w:b w:val="0"/>
                <w:sz w:val="19"/>
              </w:rPr>
              <w:t>When cover_days &gt; DTE, expiry is mathematically certain. Flag and escalate immediately.</w:t>
            </w:r>
          </w:p>
        </w:tc>
      </w:tr>
      <w:tr>
        <w:tc>
          <w:tcPr>
            <w:tcW w:type="dxa" w:w="2351"/>
            <w:vAlign w:val="center"/>
          </w:tcPr>
          <w:p>
            <w:r>
              <w:rPr>
                <w:b w:val="0"/>
                <w:sz w:val="19"/>
              </w:rPr>
              <w:t>#3</w:t>
            </w:r>
          </w:p>
        </w:tc>
        <w:tc>
          <w:tcPr>
            <w:tcW w:type="dxa" w:w="2351"/>
            <w:vAlign w:val="center"/>
          </w:tcPr>
          <w:p>
            <w:r>
              <w:rPr>
                <w:b w:val="0"/>
                <w:sz w:val="19"/>
              </w:rPr>
              <w:t>Days to Expiry</w:t>
            </w:r>
          </w:p>
        </w:tc>
        <w:tc>
          <w:tcPr>
            <w:tcW w:type="dxa" w:w="2351"/>
            <w:vAlign w:val="center"/>
          </w:tcPr>
          <w:p>
            <w:r>
              <w:rPr>
                <w:b w:val="0"/>
                <w:sz w:val="19"/>
              </w:rPr>
              <w:t>15-20%</w:t>
            </w:r>
          </w:p>
        </w:tc>
        <w:tc>
          <w:tcPr>
            <w:tcW w:type="dxa" w:w="2351"/>
            <w:vAlign w:val="center"/>
          </w:tcPr>
          <w:p>
            <w:r>
              <w:rPr>
                <w:b w:val="0"/>
                <w:sz w:val="19"/>
              </w:rPr>
              <w:t>Earliest-expiring batches are the immediate priority. Enforce FEFO strictly at picking stations.</w:t>
            </w:r>
          </w:p>
        </w:tc>
      </w:tr>
      <w:tr>
        <w:tc>
          <w:tcPr>
            <w:tcW w:type="dxa" w:w="2351"/>
            <w:vAlign w:val="center"/>
          </w:tcPr>
          <w:p>
            <w:r>
              <w:rPr>
                <w:b w:val="0"/>
                <w:sz w:val="19"/>
              </w:rPr>
              <w:t>#4</w:t>
            </w:r>
          </w:p>
        </w:tc>
        <w:tc>
          <w:tcPr>
            <w:tcW w:type="dxa" w:w="2351"/>
            <w:vAlign w:val="center"/>
          </w:tcPr>
          <w:p>
            <w:r>
              <w:rPr>
                <w:b w:val="0"/>
                <w:sz w:val="19"/>
              </w:rPr>
              <w:t>Monthly Sales Velocity</w:t>
            </w:r>
          </w:p>
        </w:tc>
        <w:tc>
          <w:tcPr>
            <w:tcW w:type="dxa" w:w="2351"/>
            <w:vAlign w:val="center"/>
          </w:tcPr>
          <w:p>
            <w:r>
              <w:rPr>
                <w:b w:val="0"/>
                <w:sz w:val="19"/>
              </w:rPr>
              <w:t>10-15%</w:t>
            </w:r>
          </w:p>
        </w:tc>
        <w:tc>
          <w:tcPr>
            <w:tcW w:type="dxa" w:w="2351"/>
            <w:vAlign w:val="center"/>
          </w:tcPr>
          <w:p>
            <w:r>
              <w:rPr>
                <w:b w:val="0"/>
                <w:sz w:val="19"/>
              </w:rPr>
              <w:t>Low velocity is the primary root cause. Velocity programs (promos, channel push) have the highest ROI per action.</w:t>
            </w:r>
          </w:p>
        </w:tc>
      </w:tr>
      <w:tr>
        <w:tc>
          <w:tcPr>
            <w:tcW w:type="dxa" w:w="2351"/>
            <w:vAlign w:val="center"/>
          </w:tcPr>
          <w:p>
            <w:r>
              <w:rPr>
                <w:b w:val="0"/>
                <w:sz w:val="19"/>
              </w:rPr>
              <w:t>#5</w:t>
            </w:r>
          </w:p>
        </w:tc>
        <w:tc>
          <w:tcPr>
            <w:tcW w:type="dxa" w:w="2351"/>
            <w:vAlign w:val="center"/>
          </w:tcPr>
          <w:p>
            <w:r>
              <w:rPr>
                <w:b w:val="0"/>
                <w:sz w:val="19"/>
              </w:rPr>
              <w:t>Shelf Life Remaining %</w:t>
            </w:r>
          </w:p>
        </w:tc>
        <w:tc>
          <w:tcPr>
            <w:tcW w:type="dxa" w:w="2351"/>
            <w:vAlign w:val="center"/>
          </w:tcPr>
          <w:p>
            <w:r>
              <w:rPr>
                <w:b w:val="0"/>
                <w:sz w:val="19"/>
              </w:rPr>
              <w:t>5-10%</w:t>
            </w:r>
          </w:p>
        </w:tc>
        <w:tc>
          <w:tcPr>
            <w:tcW w:type="dxa" w:w="2351"/>
            <w:vAlign w:val="center"/>
          </w:tcPr>
          <w:p>
            <w:r>
              <w:rPr>
                <w:b w:val="0"/>
                <w:sz w:val="19"/>
              </w:rPr>
              <w:t>Products with &lt;40% life remaining AND slow velocity need emergency reallocation.</w:t>
            </w:r>
          </w:p>
        </w:tc>
      </w:tr>
      <w:tr>
        <w:tc>
          <w:tcPr>
            <w:tcW w:type="dxa" w:w="2351"/>
            <w:vAlign w:val="center"/>
          </w:tcPr>
          <w:p>
            <w:r>
              <w:rPr>
                <w:b w:val="0"/>
                <w:sz w:val="19"/>
              </w:rPr>
              <w:t>#6</w:t>
            </w:r>
          </w:p>
        </w:tc>
        <w:tc>
          <w:tcPr>
            <w:tcW w:type="dxa" w:w="2351"/>
            <w:vAlign w:val="center"/>
          </w:tcPr>
          <w:p>
            <w:r>
              <w:rPr>
                <w:b w:val="0"/>
                <w:sz w:val="19"/>
              </w:rPr>
              <w:t>Quantity Procured</w:t>
            </w:r>
          </w:p>
        </w:tc>
        <w:tc>
          <w:tcPr>
            <w:tcW w:type="dxa" w:w="2351"/>
            <w:vAlign w:val="center"/>
          </w:tcPr>
          <w:p>
            <w:r>
              <w:rPr>
                <w:b w:val="0"/>
                <w:sz w:val="19"/>
              </w:rPr>
              <w:t>5-8%</w:t>
            </w:r>
          </w:p>
        </w:tc>
        <w:tc>
          <w:tcPr>
            <w:tcW w:type="dxa" w:w="2351"/>
            <w:vAlign w:val="center"/>
          </w:tcPr>
          <w:p>
            <w:r>
              <w:rPr>
                <w:b w:val="0"/>
                <w:sz w:val="19"/>
              </w:rPr>
              <w:t>Over-procurement is the structural root cause. Enforce Cover Ratio &lt; 0.8xDTE at PO approval sign-off.</w:t>
            </w:r>
          </w:p>
        </w:tc>
      </w:tr>
    </w:tbl>
    <w:p/>
    <w:p>
      <w:pPr>
        <w:pStyle w:val="Heading2"/>
        <w:jc w:val="left"/>
      </w:pPr>
      <w:r>
        <w:rPr>
          <w:b/>
          <w:color w:val="1F3864"/>
        </w:rPr>
        <w:t>6.1 The Procurement Policy Fix — Upstream Prevention</w:t>
      </w:r>
    </w:p>
    <w:p>
      <w:pPr>
        <w:spacing w:after="120" w:line="360" w:lineRule="auto"/>
      </w:pPr>
      <w:r>
        <w:rPr>
          <w:b w:val="0"/>
          <w:i w:val="0"/>
          <w:sz w:val="22"/>
        </w:rPr>
        <w:t>Feature importance consistently shows that Velocity Pressure and Cover Days are the top two predictors. Both are downstream symptoms of one upstream cause: over-procurement. The guardrail formula is:</w:t>
      </w:r>
    </w:p>
    <w:p>
      <w:pPr>
        <w:jc w:val="center"/>
      </w:pPr>
      <w:r>
        <w:rPr>
          <w:b/>
          <w:color w:val="1F3864"/>
          <w:sz w:val="24"/>
        </w:rPr>
        <w:t>Maximum Safe Purchase Quantity = Monthly Velocity x (DTE / 30) x 0.75</w:t>
      </w:r>
    </w:p>
    <w:p/>
    <w:p>
      <w:pPr>
        <w:spacing w:after="160" w:line="360" w:lineRule="auto"/>
      </w:pPr>
      <w:r>
        <w:rPr>
          <w:b w:val="0"/>
          <w:i w:val="0"/>
          <w:sz w:val="22"/>
        </w:rPr>
        <w:t>The 0.75 safety margin accounts for demand volatility. If enforced as a hard constraint at every Purchase Order sign-off, the structural accumulation of non-sellable inventory would be eliminated regardless of demand fluctuations.</w:t>
      </w:r>
    </w:p>
    <w:p>
      <w:r>
        <w:br w:type="page"/>
      </w:r>
    </w:p>
    <w:p>
      <w:pPr>
        <w:pStyle w:val="Heading1"/>
        <w:jc w:val="left"/>
      </w:pPr>
      <w:r>
        <w:rPr>
          <w:b/>
          <w:color w:val="1F3864"/>
        </w:rPr>
        <w:t>7. SKU Pareto Analysis — Which Products Drive 80% of Expiry Risk?</w:t>
      </w:r>
    </w:p>
    <w:p>
      <w:pPr>
        <w:spacing w:after="160" w:line="360" w:lineRule="auto"/>
      </w:pPr>
      <w:r>
        <w:rPr>
          <w:b w:val="0"/>
          <w:i w:val="0"/>
          <w:sz w:val="22"/>
        </w:rPr>
        <w:t>The Pareto Principle (80/20 rule) is one of the most powerful and consistently validated observations in supply chain management: in virtually every pharmaceutical inventory portfolio, approximately 20% of SKUs account for 80% of total expiry-related financial risk. The PharmaTrace ML classifier uses this principle to prioritise management attention and avoid 'spray-and-pray' interventions across the entire portfolio.</w:t>
      </w:r>
    </w:p>
    <w:p>
      <w:pPr>
        <w:pStyle w:val="Heading2"/>
        <w:jc w:val="left"/>
      </w:pPr>
      <w:r>
        <w:rPr>
          <w:b/>
          <w:color w:val="1F3864"/>
        </w:rPr>
        <w:t>7.1 What the Pareto Chart Shows</w:t>
      </w:r>
    </w:p>
    <w:p>
      <w:pPr>
        <w:spacing w:after="160" w:line="360" w:lineRule="auto"/>
      </w:pPr>
      <w:r>
        <w:rPr>
          <w:b w:val="0"/>
          <w:i w:val="0"/>
          <w:sz w:val="22"/>
        </w:rPr>
        <w:t>The Pareto chart ranks every SKU from highest to lowest at-risk inventory value (red bars, left axis). A cumulative percentage line (right axis) shows what fraction of total at-risk capital is accounted for as SKUs are added from left to right. The green dashed line marks the 80% threshold — the point at which the fewest SKUs account for the largest share of risk.</w:t>
      </w:r>
    </w:p>
    <w:p>
      <w:pPr>
        <w:pStyle w:val="ListBullet"/>
        <w:spacing w:after="80"/>
        <w:ind w:left="360"/>
      </w:pPr>
      <w:r>
        <w:rPr>
          <w:sz w:val="22"/>
        </w:rPr>
        <w:t>Red bars (left axis): At-risk inventory value per SKU, sorted largest to smallest. Only batches the ML classifier labels as At-Risk are counted.</w:t>
      </w:r>
    </w:p>
    <w:p>
      <w:pPr>
        <w:pStyle w:val="ListBullet"/>
        <w:spacing w:after="80"/>
        <w:ind w:left="360"/>
      </w:pPr>
      <w:r>
        <w:rPr>
          <w:sz w:val="22"/>
        </w:rPr>
        <w:t>Yellow line (right axis): Cumulative % of total at-risk value as SKUs are added. This is the Pareto curve.</w:t>
      </w:r>
    </w:p>
    <w:p>
      <w:pPr>
        <w:pStyle w:val="ListBullet"/>
        <w:spacing w:after="80"/>
        <w:ind w:left="360"/>
      </w:pPr>
      <w:r>
        <w:rPr>
          <w:sz w:val="22"/>
        </w:rPr>
        <w:t>Green dashed line: The 80% concentration threshold — SKUs to the left of where the yellow line crosses this are the top 20% driving 80% of the risk.</w:t>
      </w:r>
    </w:p>
    <w:p/>
    <w:p>
      <w:pPr>
        <w:pStyle w:val="Heading2"/>
        <w:jc w:val="left"/>
      </w:pPr>
      <w:r>
        <w:rPr>
          <w:b/>
          <w:color w:val="1F3864"/>
        </w:rPr>
        <w:t>7.2 Why This Matters More Than a Full-Portfolio View</w:t>
      </w:r>
    </w:p>
    <w:p>
      <w:pPr>
        <w:spacing w:after="160" w:line="360" w:lineRule="auto"/>
      </w:pPr>
      <w:r>
        <w:rPr>
          <w:b w:val="0"/>
          <w:i w:val="0"/>
          <w:sz w:val="22"/>
        </w:rPr>
        <w:t>A full-portfolio intervention (e.g., apply discounts to everything) is operationally expensive and financially inefficient. The Pareto chart answers the question every supply chain director asks: 'Where do I focus first?' If 3 SKUs drive 80% of the write-off risk, the team can focus 100% of its intervention capacity on those 3 products and recover the vast majority of at-risk capital.</w:t>
      </w:r>
    </w:p>
    <w:tbl>
      <w:tblPr>
        <w:tblStyle w:val="TableGrid"/>
        <w:tblW w:type="auto" w:w="0"/>
        <w:tblLook w:firstColumn="1" w:firstRow="1" w:lastColumn="0" w:lastRow="0" w:noHBand="0" w:noVBand="1" w:val="04A0"/>
      </w:tblPr>
      <w:tblGrid>
        <w:gridCol w:w="9406"/>
      </w:tblGrid>
      <w:tr>
        <w:tc>
          <w:tcPr>
            <w:tcW w:type="dxa" w:w="9406"/>
            <w:shd w:val="clear" w:color="auto" w:fill="F5F3FF"/>
          </w:tcPr>
          <w:p>
            <w:r>
              <w:rPr>
                <w:b/>
                <w:color w:val="EF4444"/>
                <w:sz w:val="22"/>
              </w:rPr>
              <w:t xml:space="preserve">  Pareto Finding Interpretation:</w:t>
            </w:r>
          </w:p>
          <w:p>
            <w:r>
              <w:rPr>
                <w:color w:val="334155"/>
                <w:sz w:val="21"/>
              </w:rPr>
              <w:t xml:space="preserve">  A typical finding is: 'The top N SKU(s) account for 80%+ of all at-risk inventory value.' This means the team can prioritise those N products for accelerated dispatch, velocity programs, or secondary market liquidation and deliver maximum capital recovery per management action — without touching the remaining 80% of the SKU catalogue.</w:t>
            </w:r>
          </w:p>
        </w:tc>
      </w:tr>
    </w:tbl>
    <w:p/>
    <w:p>
      <w:pPr>
        <w:pStyle w:val="Heading2"/>
        <w:jc w:val="left"/>
      </w:pPr>
      <w:r>
        <w:rPr>
          <w:b/>
          <w:color w:val="1F3864"/>
        </w:rPr>
        <w:t>7.3 How to Act on the Pareto Finding</w:t>
      </w:r>
    </w:p>
    <w:p>
      <w:pPr>
        <w:pStyle w:val="ListBullet"/>
        <w:spacing w:after="80"/>
        <w:ind w:left="360"/>
      </w:pPr>
      <w:r>
        <w:rPr>
          <w:b/>
          <w:sz w:val="22"/>
        </w:rPr>
        <w:t xml:space="preserve">Top 1-3 SKUs (&gt;50% of risk): </w:t>
      </w:r>
      <w:r>
        <w:rPr>
          <w:sz w:val="22"/>
        </w:rPr>
        <w:t xml:space="preserve"> Treat as emergency. Convene a cross-functional war room: Sales Director, Supply Chain VP, and Finance. Assign a dedicated SKU owner responsible for clearing each batch within 30 days.</w:t>
      </w:r>
    </w:p>
    <w:p>
      <w:pPr>
        <w:pStyle w:val="ListBullet"/>
        <w:spacing w:after="80"/>
        <w:ind w:left="360"/>
      </w:pPr>
      <w:r>
        <w:rPr>
          <w:b/>
          <w:sz w:val="22"/>
        </w:rPr>
        <w:t xml:space="preserve">SKUs 4-10 (up to 80% of risk): </w:t>
      </w:r>
      <w:r>
        <w:rPr>
          <w:sz w:val="22"/>
        </w:rPr>
        <w:t xml:space="preserve"> Assign to regional sales managers as a velocity sprint target. Set a 14-day review cadence. Consider bundle pricing with faster-moving SKUs to pull demand forward.</w:t>
      </w:r>
    </w:p>
    <w:p>
      <w:pPr>
        <w:pStyle w:val="ListBullet"/>
        <w:spacing w:after="80"/>
        <w:ind w:left="360"/>
      </w:pPr>
      <w:r>
        <w:rPr>
          <w:b/>
          <w:sz w:val="22"/>
        </w:rPr>
        <w:t xml:space="preserve">Remaining SKUs (long tail): </w:t>
      </w:r>
      <w:r>
        <w:rPr>
          <w:sz w:val="22"/>
        </w:rPr>
        <w:t xml:space="preserve"> Monitor under standard FEFO. No special intervention needed unless they move into a higher risk band. Re-run Pareto monthly to detect any rising SKUs.</w:t>
      </w:r>
    </w:p>
    <w:p/>
    <w:p>
      <w:r>
        <w:br w:type="page"/>
      </w:r>
    </w:p>
    <w:p>
      <w:pPr>
        <w:pStyle w:val="Heading1"/>
        <w:jc w:val="left"/>
      </w:pPr>
      <w:r>
        <w:rPr>
          <w:b/>
          <w:color w:val="1F3864"/>
        </w:rPr>
        <w:t>8. Warehouse Risk Concentration — Which DCs Carry the Most Risk?</w:t>
      </w:r>
    </w:p>
    <w:p>
      <w:pPr>
        <w:spacing w:after="160" w:line="360" w:lineRule="auto"/>
      </w:pPr>
      <w:r>
        <w:rPr>
          <w:b w:val="0"/>
          <w:i w:val="0"/>
          <w:sz w:val="22"/>
        </w:rPr>
        <w:t>Knowing WHAT is at risk (Pareto) is only half the answer. Knowing WHERE it is stored is equally critical — because the intervention (inter-warehouse transfer) is inherently location-specific. The Warehouse Risk Concentration chart identifies which distribution centers (DCs) carry the highest concentration of at-risk inventory, enabling targeted transfer to higher-velocity nodes.</w:t>
      </w:r>
    </w:p>
    <w:p>
      <w:pPr>
        <w:pStyle w:val="Heading2"/>
        <w:jc w:val="left"/>
      </w:pPr>
      <w:r>
        <w:rPr>
          <w:b/>
          <w:color w:val="1F3864"/>
        </w:rPr>
        <w:t>8.1 What the Chart Shows</w:t>
      </w:r>
    </w:p>
    <w:p>
      <w:pPr>
        <w:spacing w:after="120" w:line="360" w:lineRule="auto"/>
      </w:pPr>
      <w:r>
        <w:rPr>
          <w:b w:val="0"/>
          <w:i w:val="0"/>
          <w:sz w:val="22"/>
        </w:rPr>
        <w:t>A stacked bar chart shows each warehouse on the X-axis. For each DC, the bar has two stacked components:</w:t>
      </w:r>
    </w:p>
    <w:p>
      <w:pPr>
        <w:pStyle w:val="ListBullet"/>
        <w:spacing w:after="80"/>
        <w:ind w:left="360"/>
      </w:pPr>
      <w:r>
        <w:rPr>
          <w:sz w:val="22"/>
        </w:rPr>
        <w:t>Red portion (bottom): At-Risk inventory value — batches the ML classifier predicts will expire before selling.</w:t>
      </w:r>
    </w:p>
    <w:p>
      <w:pPr>
        <w:pStyle w:val="ListBullet"/>
        <w:spacing w:after="80"/>
        <w:ind w:left="360"/>
      </w:pPr>
      <w:r>
        <w:rPr>
          <w:sz w:val="22"/>
        </w:rPr>
        <w:t>Green portion (top): Safe inventory value — batches on track to sell in time.</w:t>
      </w:r>
    </w:p>
    <w:p>
      <w:pPr>
        <w:spacing w:after="160" w:line="360" w:lineRule="auto"/>
      </w:pPr>
      <w:r>
        <w:rPr>
          <w:b w:val="0"/>
          <w:i/>
          <w:color w:val="475569"/>
          <w:sz w:val="20"/>
        </w:rPr>
        <w:t>Warehouses are sorted from highest to lowest at-risk value, making the most critical DC immediately visible.</w:t>
      </w:r>
    </w:p>
    <w:p>
      <w:pPr>
        <w:pStyle w:val="Heading2"/>
        <w:jc w:val="left"/>
      </w:pPr>
      <w:r>
        <w:rPr>
          <w:b/>
          <w:color w:val="1F3864"/>
        </w:rPr>
        <w:t>8.2 Why Warehouse-Level Granularity Is Critical</w:t>
      </w:r>
    </w:p>
    <w:p>
      <w:pPr>
        <w:spacing w:after="120" w:line="360" w:lineRule="auto"/>
      </w:pPr>
      <w:r>
        <w:rPr>
          <w:b w:val="0"/>
          <w:i w:val="0"/>
          <w:sz w:val="22"/>
        </w:rPr>
        <w:t>The same SKU can be at risk in one warehouse and perfectly safe in another, for three reasons:</w:t>
      </w:r>
    </w:p>
    <w:p>
      <w:pPr>
        <w:pStyle w:val="ListBullet"/>
        <w:spacing w:after="80"/>
        <w:ind w:left="360"/>
      </w:pPr>
      <w:r>
        <w:rPr>
          <w:b/>
          <w:sz w:val="22"/>
        </w:rPr>
        <w:t xml:space="preserve">Velocity mismatch: </w:t>
      </w:r>
      <w:r>
        <w:rPr>
          <w:sz w:val="22"/>
        </w:rPr>
        <w:t xml:space="preserve"> A DC serving a rural or low-population catchment area will have slower dispatch velocity for the same SKU than an urban hub. Stock sitting in the low-velocity DC will expire; the same stock transferred to the urban hub would sell through.</w:t>
      </w:r>
    </w:p>
    <w:p>
      <w:pPr>
        <w:pStyle w:val="ListBullet"/>
        <w:spacing w:after="80"/>
        <w:ind w:left="360"/>
      </w:pPr>
      <w:r>
        <w:rPr>
          <w:b/>
          <w:sz w:val="22"/>
        </w:rPr>
        <w:t xml:space="preserve">Channel composition: </w:t>
      </w:r>
      <w:r>
        <w:rPr>
          <w:sz w:val="22"/>
        </w:rPr>
        <w:t xml:space="preserve"> Some DCs serve hospital direct channels (fast, bulk, predictable demand). Others serve retail pharmacy channels (slower, fragmented, seasonal). The same batch has very different expiry risk depending on which channel the DC serves.</w:t>
      </w:r>
    </w:p>
    <w:p>
      <w:pPr>
        <w:pStyle w:val="ListBullet"/>
        <w:spacing w:after="80"/>
        <w:ind w:left="360"/>
      </w:pPr>
      <w:r>
        <w:rPr>
          <w:b/>
          <w:sz w:val="22"/>
        </w:rPr>
        <w:t xml:space="preserve">Cold-chain capability: </w:t>
      </w:r>
      <w:r>
        <w:rPr>
          <w:sz w:val="22"/>
        </w:rPr>
        <w:t xml:space="preserve"> A batch requiring refrigeration stored in a DC without adequate cold-chain capacity is at immediate regulatory risk — independently of its demand velocity.</w:t>
      </w:r>
    </w:p>
    <w:p/>
    <w:p>
      <w:pPr>
        <w:pStyle w:val="Heading2"/>
        <w:jc w:val="left"/>
      </w:pPr>
      <w:r>
        <w:rPr>
          <w:b/>
          <w:color w:val="1F3864"/>
        </w:rPr>
        <w:t>8.3 The Inter-Warehouse Transfer Decision</w:t>
      </w:r>
    </w:p>
    <w:p>
      <w:pPr>
        <w:spacing w:after="160" w:line="360" w:lineRule="auto"/>
      </w:pPr>
      <w:r>
        <w:rPr>
          <w:b w:val="0"/>
          <w:i w:val="0"/>
          <w:sz w:val="22"/>
        </w:rPr>
        <w:t>When the warehouse risk chart identifies a high-risk DC, the prescriptive action is inter-warehouse transfer. This is not a simple reallocation — it has a logistics cost that must be weighed against the value at risk:</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r>
              <w:rPr>
                <w:b/>
                <w:color w:val="FFFFFF"/>
                <w:sz w:val="20"/>
              </w:rPr>
              <w:t>Condition</w:t>
            </w:r>
          </w:p>
        </w:tc>
        <w:tc>
          <w:tcPr>
            <w:tcW w:type="dxa" w:w="2351"/>
            <w:shd w:val="clear" w:color="auto" w:fill="1F3864"/>
          </w:tcPr>
          <w:p>
            <w:r>
              <w:rPr>
                <w:b/>
                <w:color w:val="FFFFFF"/>
                <w:sz w:val="20"/>
              </w:rPr>
              <w:t>Transfer Decision</w:t>
            </w:r>
          </w:p>
        </w:tc>
        <w:tc>
          <w:tcPr>
            <w:tcW w:type="dxa" w:w="2351"/>
            <w:shd w:val="clear" w:color="auto" w:fill="1F3864"/>
          </w:tcPr>
          <w:p>
            <w:r>
              <w:rPr>
                <w:b/>
                <w:color w:val="FFFFFF"/>
                <w:sz w:val="20"/>
              </w:rPr>
              <w:t>Cost Threshold</w:t>
            </w:r>
          </w:p>
        </w:tc>
        <w:tc>
          <w:tcPr>
            <w:tcW w:type="dxa" w:w="2351"/>
            <w:shd w:val="clear" w:color="auto" w:fill="1F3864"/>
          </w:tcPr>
          <w:p>
            <w:r>
              <w:rPr>
                <w:b/>
                <w:color w:val="FFFFFF"/>
                <w:sz w:val="20"/>
              </w:rPr>
              <w:t>Expected Recovery</w:t>
            </w:r>
          </w:p>
        </w:tc>
      </w:tr>
      <w:tr>
        <w:tc>
          <w:tcPr>
            <w:tcW w:type="dxa" w:w="2351"/>
            <w:vAlign w:val="center"/>
          </w:tcPr>
          <w:p>
            <w:r>
              <w:rPr>
                <w:b w:val="0"/>
                <w:sz w:val="19"/>
              </w:rPr>
              <w:t>DTE &gt; 90 days, high-velocity DC available</w:t>
            </w:r>
          </w:p>
        </w:tc>
        <w:tc>
          <w:tcPr>
            <w:tcW w:type="dxa" w:w="2351"/>
            <w:vAlign w:val="center"/>
          </w:tcPr>
          <w:p>
            <w:r>
              <w:rPr>
                <w:b w:val="0"/>
                <w:sz w:val="19"/>
              </w:rPr>
              <w:t>TRANSFER — highest priority</w:t>
            </w:r>
          </w:p>
        </w:tc>
        <w:tc>
          <w:tcPr>
            <w:tcW w:type="dxa" w:w="2351"/>
            <w:vAlign w:val="center"/>
          </w:tcPr>
          <w:p>
            <w:r>
              <w:rPr>
                <w:b w:val="0"/>
                <w:sz w:val="19"/>
              </w:rPr>
              <w:t>Freight cost &lt; 15% of batch value</w:t>
            </w:r>
          </w:p>
        </w:tc>
        <w:tc>
          <w:tcPr>
            <w:tcW w:type="dxa" w:w="2351"/>
            <w:vAlign w:val="center"/>
          </w:tcPr>
          <w:p>
            <w:r>
              <w:rPr>
                <w:b w:val="0"/>
                <w:sz w:val="19"/>
              </w:rPr>
              <w:t>90-100% value recovery via normal dispatch at destination</w:t>
            </w:r>
          </w:p>
        </w:tc>
      </w:tr>
      <w:tr>
        <w:tc>
          <w:tcPr>
            <w:tcW w:type="dxa" w:w="2351"/>
            <w:vAlign w:val="center"/>
          </w:tcPr>
          <w:p>
            <w:r>
              <w:rPr>
                <w:b w:val="0"/>
                <w:sz w:val="19"/>
              </w:rPr>
              <w:t>DTE 30-90 days, moderate velocity DC</w:t>
            </w:r>
          </w:p>
        </w:tc>
        <w:tc>
          <w:tcPr>
            <w:tcW w:type="dxa" w:w="2351"/>
            <w:vAlign w:val="center"/>
          </w:tcPr>
          <w:p>
            <w:r>
              <w:rPr>
                <w:b w:val="0"/>
                <w:sz w:val="19"/>
              </w:rPr>
              <w:t>TRANSFER + discounted pricing</w:t>
            </w:r>
          </w:p>
        </w:tc>
        <w:tc>
          <w:tcPr>
            <w:tcW w:type="dxa" w:w="2351"/>
            <w:vAlign w:val="center"/>
          </w:tcPr>
          <w:p>
            <w:r>
              <w:rPr>
                <w:b w:val="0"/>
                <w:sz w:val="19"/>
              </w:rPr>
              <w:t>Freight cost &lt; 25% of batch value</w:t>
            </w:r>
          </w:p>
        </w:tc>
        <w:tc>
          <w:tcPr>
            <w:tcW w:type="dxa" w:w="2351"/>
            <w:vAlign w:val="center"/>
          </w:tcPr>
          <w:p>
            <w:r>
              <w:rPr>
                <w:b w:val="0"/>
                <w:sz w:val="19"/>
              </w:rPr>
              <w:t>70-85% value recovery with discount to accelerate clearance</w:t>
            </w:r>
          </w:p>
        </w:tc>
      </w:tr>
      <w:tr>
        <w:tc>
          <w:tcPr>
            <w:tcW w:type="dxa" w:w="2351"/>
            <w:vAlign w:val="center"/>
          </w:tcPr>
          <w:p>
            <w:r>
              <w:rPr>
                <w:b w:val="0"/>
                <w:sz w:val="19"/>
              </w:rPr>
              <w:t>DTE &lt; 30 days, any DC</w:t>
            </w:r>
          </w:p>
        </w:tc>
        <w:tc>
          <w:tcPr>
            <w:tcW w:type="dxa" w:w="2351"/>
            <w:vAlign w:val="center"/>
          </w:tcPr>
          <w:p>
            <w:r>
              <w:rPr>
                <w:b w:val="0"/>
                <w:sz w:val="19"/>
              </w:rPr>
              <w:t>Liquidation preferred over transfer</w:t>
            </w:r>
          </w:p>
        </w:tc>
        <w:tc>
          <w:tcPr>
            <w:tcW w:type="dxa" w:w="2351"/>
            <w:vAlign w:val="center"/>
          </w:tcPr>
          <w:p>
            <w:r>
              <w:rPr>
                <w:b w:val="0"/>
                <w:sz w:val="19"/>
              </w:rPr>
              <w:t>Transfer cost likely exceeds recovery benefit</w:t>
            </w:r>
          </w:p>
        </w:tc>
        <w:tc>
          <w:tcPr>
            <w:tcW w:type="dxa" w:w="2351"/>
            <w:vAlign w:val="center"/>
          </w:tcPr>
          <w:p>
            <w:r>
              <w:rPr>
                <w:b w:val="0"/>
                <w:sz w:val="19"/>
              </w:rPr>
              <w:t>40-60% via secondary market liquidator</w:t>
            </w:r>
          </w:p>
        </w:tc>
      </w:tr>
      <w:tr>
        <w:tc>
          <w:tcPr>
            <w:tcW w:type="dxa" w:w="2351"/>
            <w:vAlign w:val="center"/>
          </w:tcPr>
          <w:p>
            <w:r>
              <w:rPr>
                <w:b w:val="0"/>
                <w:sz w:val="19"/>
              </w:rPr>
              <w:t>DTE &lt;= 0 (expired)</w:t>
            </w:r>
          </w:p>
        </w:tc>
        <w:tc>
          <w:tcPr>
            <w:tcW w:type="dxa" w:w="2351"/>
            <w:vAlign w:val="center"/>
          </w:tcPr>
          <w:p>
            <w:r>
              <w:rPr>
                <w:b w:val="0"/>
                <w:sz w:val="19"/>
              </w:rPr>
              <w:t>NO transfer — certified destruction only</w:t>
            </w:r>
          </w:p>
        </w:tc>
        <w:tc>
          <w:tcPr>
            <w:tcW w:type="dxa" w:w="2351"/>
            <w:vAlign w:val="center"/>
          </w:tcPr>
          <w:p>
            <w:r>
              <w:rPr>
                <w:b w:val="0"/>
                <w:sz w:val="19"/>
              </w:rPr>
              <w:t>N/A</w:t>
            </w:r>
          </w:p>
        </w:tc>
        <w:tc>
          <w:tcPr>
            <w:tcW w:type="dxa" w:w="2351"/>
            <w:vAlign w:val="center"/>
          </w:tcPr>
          <w:p>
            <w:r>
              <w:rPr>
                <w:b w:val="0"/>
                <w:sz w:val="19"/>
              </w:rPr>
              <w:t>0% — write-off with regulatory documentation</w:t>
            </w:r>
          </w:p>
        </w:tc>
      </w:tr>
    </w:tbl>
    <w:p/>
    <w:p>
      <w:r>
        <w:br w:type="page"/>
      </w:r>
    </w:p>
    <w:p>
      <w:pPr>
        <w:pStyle w:val="Heading1"/>
        <w:jc w:val="left"/>
      </w:pPr>
      <w:r>
        <w:rPr>
          <w:b/>
          <w:color w:val="1F3864"/>
        </w:rPr>
        <w:t>9. Explainable AI (XAI) — Making the Model Auditable and Trustworthy</w:t>
      </w:r>
    </w:p>
    <w:p>
      <w:pPr>
        <w:spacing w:after="160" w:line="360" w:lineRule="auto"/>
      </w:pPr>
      <w:r>
        <w:rPr>
          <w:b w:val="0"/>
          <w:i w:val="0"/>
          <w:sz w:val="22"/>
        </w:rPr>
        <w:t>A machine learning model that produces a prediction without explanation is a black box — and black boxes are unacceptable in pharmaceutical supply chain management, where regulatory auditors, quality directors, and C-suite executives must be able to understand, challenge, and trust every decision. PharmaTrace embeds Explainable AI (XAI) throughout the classifier to ensure every risk prediction is traceable, interpretable, and auditable.</w:t>
      </w:r>
    </w:p>
    <w:p>
      <w:pPr>
        <w:pStyle w:val="Heading2"/>
        <w:jc w:val="left"/>
      </w:pPr>
      <w:r>
        <w:rPr>
          <w:b/>
          <w:color w:val="1F3864"/>
        </w:rPr>
        <w:t>9.1 What Explainability Means in This Context</w:t>
      </w:r>
    </w:p>
    <w:p>
      <w:pPr>
        <w:spacing w:after="120" w:line="360" w:lineRule="auto"/>
      </w:pPr>
      <w:r>
        <w:rPr>
          <w:b w:val="0"/>
          <w:i w:val="0"/>
          <w:sz w:val="22"/>
        </w:rPr>
        <w:t>XAI in PharmaTrace operates at three levels:</w:t>
      </w:r>
    </w:p>
    <w:p>
      <w:pPr>
        <w:pStyle w:val="ListBullet"/>
        <w:spacing w:after="80"/>
        <w:ind w:left="360"/>
      </w:pPr>
      <w:r>
        <w:rPr>
          <w:b/>
          <w:sz w:val="22"/>
        </w:rPr>
        <w:t xml:space="preserve">Global Explainability (Feature Importance): </w:t>
      </w:r>
      <w:r>
        <w:rPr>
          <w:sz w:val="22"/>
        </w:rPr>
        <w:t xml:space="preserve"> Answers: 'What variables does the model rely on most across ALL batches?' The feature importance chart (Section 6) is a global explanation — it shows that Velocity Pressure and Cover Days drive most predictions. This is auditable at the board level: 'Our model prioritises operational velocity metrics over price signals, because velocity is the direct driver of clearance time.'</w:t>
      </w:r>
    </w:p>
    <w:p>
      <w:pPr>
        <w:pStyle w:val="ListBullet"/>
        <w:spacing w:after="80"/>
        <w:ind w:left="360"/>
      </w:pPr>
      <w:r>
        <w:rPr>
          <w:b/>
          <w:sz w:val="22"/>
        </w:rPr>
        <w:t xml:space="preserve">Local Explainability (Per-Batch Probability Score): </w:t>
      </w:r>
      <w:r>
        <w:rPr>
          <w:sz w:val="22"/>
        </w:rPr>
        <w:t xml:space="preserve"> Answers: 'Why did this specific batch get flagged?' The probability score (0-100%) from predict_proba() is a local explanation at the batch level. A score of 87% means the model's feature combination for this batch is highly similar to batches that historically expired. A warehouse manager can see: 'Batch XYZ has VP = 2.3, Cover Days = 180, DTE = 78 — that's why the score is 87%.'</w:t>
      </w:r>
    </w:p>
    <w:p>
      <w:pPr>
        <w:pStyle w:val="ListBullet"/>
        <w:spacing w:after="80"/>
        <w:ind w:left="360"/>
      </w:pPr>
      <w:r>
        <w:rPr>
          <w:b/>
          <w:sz w:val="22"/>
        </w:rPr>
        <w:t xml:space="preserve">Prescriptive Explainability (Recovery Zone Assignment): </w:t>
      </w:r>
      <w:r>
        <w:rPr>
          <w:sz w:val="22"/>
        </w:rPr>
        <w:t xml:space="preserve"> Answers: 'What should be done, and why?' The Prescriptive Recovery Playbook (Section 12) translates each model output into a specific, justified action with a quantified expected recovery rate. This is the most operationally valuable form of explainability.</w:t>
      </w:r>
    </w:p>
    <w:p/>
    <w:p>
      <w:pPr>
        <w:pStyle w:val="Heading2"/>
        <w:jc w:val="left"/>
      </w:pPr>
      <w:r>
        <w:rPr>
          <w:b/>
          <w:color w:val="1F3864"/>
        </w:rPr>
        <w:t>9.2 The Prescriptive Recovery Playbook — XAI in Action</w:t>
      </w:r>
    </w:p>
    <w:p>
      <w:pPr>
        <w:spacing w:after="160" w:line="360" w:lineRule="auto"/>
      </w:pPr>
      <w:r>
        <w:rPr>
          <w:b w:val="0"/>
          <w:i w:val="0"/>
          <w:sz w:val="22"/>
        </w:rPr>
        <w:t>The Prescriptive Recovery Playbook is the bridge between the classifier's output and management action. It takes every batch, assigns it to a recovery zone based on DTE and velocity pressure, and attaches a quantified expected recovery rate to each zone: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r>
              <w:rPr>
                <w:b/>
                <w:color w:val="FFFFFF"/>
                <w:sz w:val="20"/>
              </w:rPr>
              <w:t>Zone</w:t>
            </w:r>
          </w:p>
        </w:tc>
        <w:tc>
          <w:tcPr>
            <w:tcW w:type="dxa" w:w="1881"/>
            <w:shd w:val="clear" w:color="auto" w:fill="1F3864"/>
          </w:tcPr>
          <w:p>
            <w:r>
              <w:rPr>
                <w:b/>
                <w:color w:val="FFFFFF"/>
                <w:sz w:val="20"/>
              </w:rPr>
              <w:t>DTE Condition</w:t>
            </w:r>
          </w:p>
        </w:tc>
        <w:tc>
          <w:tcPr>
            <w:tcW w:type="dxa" w:w="1881"/>
            <w:shd w:val="clear" w:color="auto" w:fill="1F3864"/>
          </w:tcPr>
          <w:p>
            <w:r>
              <w:rPr>
                <w:b/>
                <w:color w:val="FFFFFF"/>
                <w:sz w:val="20"/>
              </w:rPr>
              <w:t>Additional Trigger</w:t>
            </w:r>
          </w:p>
        </w:tc>
        <w:tc>
          <w:tcPr>
            <w:tcW w:type="dxa" w:w="1881"/>
            <w:shd w:val="clear" w:color="auto" w:fill="1F3864"/>
          </w:tcPr>
          <w:p>
            <w:r>
              <w:rPr>
                <w:b/>
                <w:color w:val="FFFFFF"/>
                <w:sz w:val="20"/>
              </w:rPr>
              <w:t>Recovery Rate</w:t>
            </w:r>
          </w:p>
        </w:tc>
        <w:tc>
          <w:tcPr>
            <w:tcW w:type="dxa" w:w="1881"/>
            <w:shd w:val="clear" w:color="auto" w:fill="1F3864"/>
          </w:tcPr>
          <w:p>
            <w:r>
              <w:rPr>
                <w:b/>
                <w:color w:val="FFFFFF"/>
                <w:sz w:val="20"/>
              </w:rPr>
              <w:t>Rationale</w:t>
            </w:r>
          </w:p>
        </w:tc>
      </w:tr>
      <w:tr>
        <w:tc>
          <w:tcPr>
            <w:tcW w:type="dxa" w:w="1881"/>
            <w:vAlign w:val="center"/>
          </w:tcPr>
          <w:p>
            <w:r>
              <w:rPr>
                <w:b w:val="0"/>
                <w:sz w:val="19"/>
              </w:rPr>
              <w:t>Expired (Write-Off)</w:t>
            </w:r>
          </w:p>
        </w:tc>
        <w:tc>
          <w:tcPr>
            <w:tcW w:type="dxa" w:w="1881"/>
            <w:vAlign w:val="center"/>
          </w:tcPr>
          <w:p>
            <w:r>
              <w:rPr>
                <w:b w:val="0"/>
                <w:sz w:val="19"/>
              </w:rPr>
              <w:t>DTE &lt;= 0</w:t>
            </w:r>
          </w:p>
        </w:tc>
        <w:tc>
          <w:tcPr>
            <w:tcW w:type="dxa" w:w="1881"/>
            <w:vAlign w:val="center"/>
          </w:tcPr>
          <w:p>
            <w:r>
              <w:rPr>
                <w:b w:val="0"/>
                <w:sz w:val="19"/>
              </w:rPr>
              <w:t>None — already expired</w:t>
            </w:r>
          </w:p>
        </w:tc>
        <w:tc>
          <w:tcPr>
            <w:tcW w:type="dxa" w:w="1881"/>
            <w:vAlign w:val="center"/>
          </w:tcPr>
          <w:p>
            <w:r>
              <w:rPr>
                <w:b w:val="0"/>
                <w:sz w:val="19"/>
              </w:rPr>
              <w:t>0% recovery</w:t>
            </w:r>
          </w:p>
        </w:tc>
        <w:tc>
          <w:tcPr>
            <w:tcW w:type="dxa" w:w="1881"/>
            <w:vAlign w:val="center"/>
          </w:tcPr>
          <w:p>
            <w:r>
              <w:rPr>
                <w:b w:val="0"/>
                <w:sz w:val="19"/>
              </w:rPr>
              <w:t>No commercial recovery possible. Certified destruction under FDA/CDSCO mandate. Cost = disposal + regulatory documentation.</w:t>
            </w:r>
          </w:p>
        </w:tc>
      </w:tr>
      <w:tr>
        <w:tc>
          <w:tcPr>
            <w:tcW w:type="dxa" w:w="1881"/>
            <w:vAlign w:val="center"/>
          </w:tcPr>
          <w:p>
            <w:r>
              <w:rPr>
                <w:b w:val="0"/>
                <w:sz w:val="19"/>
              </w:rPr>
              <w:t>Critical (&lt;90 days)</w:t>
            </w:r>
          </w:p>
        </w:tc>
        <w:tc>
          <w:tcPr>
            <w:tcW w:type="dxa" w:w="1881"/>
            <w:vAlign w:val="center"/>
          </w:tcPr>
          <w:p>
            <w:r>
              <w:rPr>
                <w:b w:val="0"/>
                <w:sz w:val="19"/>
              </w:rPr>
              <w:t>DTE &lt;= 90 days</w:t>
            </w:r>
          </w:p>
        </w:tc>
        <w:tc>
          <w:tcPr>
            <w:tcW w:type="dxa" w:w="1881"/>
            <w:vAlign w:val="center"/>
          </w:tcPr>
          <w:p>
            <w:r>
              <w:rPr>
                <w:b w:val="0"/>
                <w:sz w:val="19"/>
              </w:rPr>
              <w:t>OR: VP &gt; 1.0 even if DTE &gt; 90</w:t>
            </w:r>
          </w:p>
        </w:tc>
        <w:tc>
          <w:tcPr>
            <w:tcW w:type="dxa" w:w="1881"/>
            <w:vAlign w:val="center"/>
          </w:tcPr>
          <w:p>
            <w:r>
              <w:rPr>
                <w:b w:val="0"/>
                <w:sz w:val="19"/>
              </w:rPr>
              <w:t>55% recovery</w:t>
            </w:r>
          </w:p>
        </w:tc>
        <w:tc>
          <w:tcPr>
            <w:tcW w:type="dxa" w:w="1881"/>
            <w:vAlign w:val="center"/>
          </w:tcPr>
          <w:p>
            <w:r>
              <w:rPr>
                <w:b w:val="0"/>
                <w:sz w:val="19"/>
              </w:rPr>
              <w:t>Liquidation at 40-60% discount to secondary market. Also captures velocity-crisis batches where cover exceeds expiry regardless of DTE.</w:t>
            </w:r>
          </w:p>
        </w:tc>
      </w:tr>
      <w:tr>
        <w:tc>
          <w:tcPr>
            <w:tcW w:type="dxa" w:w="1881"/>
            <w:vAlign w:val="center"/>
          </w:tcPr>
          <w:p>
            <w:r>
              <w:rPr>
                <w:b w:val="0"/>
                <w:sz w:val="19"/>
              </w:rPr>
              <w:t>At-Risk (90-180 days)</w:t>
            </w:r>
          </w:p>
        </w:tc>
        <w:tc>
          <w:tcPr>
            <w:tcW w:type="dxa" w:w="1881"/>
            <w:vAlign w:val="center"/>
          </w:tcPr>
          <w:p>
            <w:r>
              <w:rPr>
                <w:b w:val="0"/>
                <w:sz w:val="19"/>
              </w:rPr>
              <w:t>90 &lt; DTE &lt;= 180 days</w:t>
            </w:r>
          </w:p>
        </w:tc>
        <w:tc>
          <w:tcPr>
            <w:tcW w:type="dxa" w:w="1881"/>
            <w:vAlign w:val="center"/>
          </w:tcPr>
          <w:p>
            <w:r>
              <w:rPr>
                <w:b w:val="0"/>
                <w:sz w:val="19"/>
              </w:rPr>
              <w:t>Normal velocity</w:t>
            </w:r>
          </w:p>
        </w:tc>
        <w:tc>
          <w:tcPr>
            <w:tcW w:type="dxa" w:w="1881"/>
            <w:vAlign w:val="center"/>
          </w:tcPr>
          <w:p>
            <w:r>
              <w:rPr>
                <w:b w:val="0"/>
                <w:sz w:val="19"/>
              </w:rPr>
              <w:t>82% recovery</w:t>
            </w:r>
          </w:p>
        </w:tc>
        <w:tc>
          <w:tcPr>
            <w:tcW w:type="dxa" w:w="1881"/>
            <w:vAlign w:val="center"/>
          </w:tcPr>
          <w:p>
            <w:r>
              <w:rPr>
                <w:b w:val="0"/>
                <w:sz w:val="19"/>
              </w:rPr>
              <w:t>Accelerated dispatch via inter-warehouse transfer to higher-velocity DC, or institutional direct sale. 180-day window is sufficient for active intervention.</w:t>
            </w:r>
          </w:p>
        </w:tc>
      </w:tr>
      <w:tr>
        <w:tc>
          <w:tcPr>
            <w:tcW w:type="dxa" w:w="1881"/>
            <w:vAlign w:val="center"/>
          </w:tcPr>
          <w:p>
            <w:r>
              <w:rPr>
                <w:b w:val="0"/>
                <w:sz w:val="19"/>
              </w:rPr>
              <w:t>Monitor (180-365 days)</w:t>
            </w:r>
          </w:p>
        </w:tc>
        <w:tc>
          <w:tcPr>
            <w:tcW w:type="dxa" w:w="1881"/>
            <w:vAlign w:val="center"/>
          </w:tcPr>
          <w:p>
            <w:r>
              <w:rPr>
                <w:b w:val="0"/>
                <w:sz w:val="19"/>
              </w:rPr>
              <w:t>180 &lt; DTE &lt;= 365 days</w:t>
            </w:r>
          </w:p>
        </w:tc>
        <w:tc>
          <w:tcPr>
            <w:tcW w:type="dxa" w:w="1881"/>
            <w:vAlign w:val="center"/>
          </w:tcPr>
          <w:p>
            <w:r>
              <w:rPr>
                <w:b w:val="0"/>
                <w:sz w:val="19"/>
              </w:rPr>
              <w:t>Normal velocity</w:t>
            </w:r>
          </w:p>
        </w:tc>
        <w:tc>
          <w:tcPr>
            <w:tcW w:type="dxa" w:w="1881"/>
            <w:vAlign w:val="center"/>
          </w:tcPr>
          <w:p>
            <w:r>
              <w:rPr>
                <w:b w:val="0"/>
                <w:sz w:val="19"/>
              </w:rPr>
              <w:t>96% recovery</w:t>
            </w:r>
          </w:p>
        </w:tc>
        <w:tc>
          <w:tcPr>
            <w:tcW w:type="dxa" w:w="1881"/>
            <w:vAlign w:val="center"/>
          </w:tcPr>
          <w:p>
            <w:r>
              <w:rPr>
                <w:b w:val="0"/>
                <w:sz w:val="19"/>
              </w:rPr>
              <w:t>Standard FEFO with minor channel optimisation. Very high recovery expected with minimal intervention.</w:t>
            </w:r>
          </w:p>
        </w:tc>
      </w:tr>
      <w:tr>
        <w:tc>
          <w:tcPr>
            <w:tcW w:type="dxa" w:w="1881"/>
            <w:vAlign w:val="center"/>
          </w:tcPr>
          <w:p>
            <w:r>
              <w:rPr>
                <w:b w:val="0"/>
                <w:sz w:val="19"/>
              </w:rPr>
              <w:t>Safe (&gt;365 days)</w:t>
            </w:r>
          </w:p>
        </w:tc>
        <w:tc>
          <w:tcPr>
            <w:tcW w:type="dxa" w:w="1881"/>
            <w:vAlign w:val="center"/>
          </w:tcPr>
          <w:p>
            <w:r>
              <w:rPr>
                <w:b w:val="0"/>
                <w:sz w:val="19"/>
              </w:rPr>
              <w:t>DTE &gt; 365 days</w:t>
            </w:r>
          </w:p>
        </w:tc>
        <w:tc>
          <w:tcPr>
            <w:tcW w:type="dxa" w:w="1881"/>
            <w:vAlign w:val="center"/>
          </w:tcPr>
          <w:p>
            <w:r>
              <w:rPr>
                <w:b w:val="0"/>
                <w:sz w:val="19"/>
              </w:rPr>
              <w:t>VP &lt; 1.0</w:t>
            </w:r>
          </w:p>
        </w:tc>
        <w:tc>
          <w:tcPr>
            <w:tcW w:type="dxa" w:w="1881"/>
            <w:vAlign w:val="center"/>
          </w:tcPr>
          <w:p>
            <w:r>
              <w:rPr>
                <w:b w:val="0"/>
                <w:sz w:val="19"/>
              </w:rPr>
              <w:t>100% recovery</w:t>
            </w:r>
          </w:p>
        </w:tc>
        <w:tc>
          <w:tcPr>
            <w:tcW w:type="dxa" w:w="1881"/>
            <w:vAlign w:val="center"/>
          </w:tcPr>
          <w:p>
            <w:r>
              <w:rPr>
                <w:b w:val="0"/>
                <w:sz w:val="19"/>
              </w:rPr>
              <w:t>No risk. Maintain standard FEFO. No intervention required.</w:t>
            </w:r>
          </w:p>
        </w:tc>
      </w:tr>
    </w:tbl>
    <w:p/>
    <w:p>
      <w:pPr>
        <w:pStyle w:val="Heading2"/>
        <w:jc w:val="left"/>
      </w:pPr>
      <w:r>
        <w:rPr>
          <w:b/>
          <w:color w:val="1F3864"/>
        </w:rPr>
        <w:t>9.3 Portfolio-Level Financial Impact Quantification</w:t>
      </w:r>
    </w:p>
    <w:p>
      <w:pPr>
        <w:spacing w:after="120" w:line="360" w:lineRule="auto"/>
      </w:pPr>
      <w:r>
        <w:rPr>
          <w:b w:val="0"/>
          <w:i w:val="0"/>
          <w:sz w:val="22"/>
        </w:rPr>
        <w:t>The Prescriptive Recovery Playbook aggregates zone-level recovery rates across the entire portfolio to produce four key management metrics:</w:t>
      </w:r>
    </w:p>
    <w:p>
      <w:pPr>
        <w:pStyle w:val="ListBullet"/>
        <w:spacing w:after="80"/>
        <w:ind w:left="360"/>
      </w:pPr>
      <w:r>
        <w:rPr>
          <w:sz w:val="22"/>
        </w:rPr>
        <w:t>Total Portfolio Value: The total USD/INR value of all active inventory batches across all warehouses.</w:t>
      </w:r>
    </w:p>
    <w:p>
      <w:pPr>
        <w:pStyle w:val="ListBullet"/>
        <w:spacing w:after="80"/>
        <w:ind w:left="360"/>
      </w:pPr>
      <w:r>
        <w:rPr>
          <w:sz w:val="22"/>
        </w:rPr>
        <w:t>At-Risk Value: Combined value of Expired + Critical + At-Risk zone batches — the capital under immediate threat.</w:t>
      </w:r>
    </w:p>
    <w:p>
      <w:pPr>
        <w:pStyle w:val="ListBullet"/>
        <w:spacing w:after="80"/>
        <w:ind w:left="360"/>
      </w:pPr>
      <w:r>
        <w:rPr>
          <w:sz w:val="22"/>
        </w:rPr>
        <w:t>Estimated Write-Off (if NO action taken): The total value lost if management takes no intervention. This is the 'cost of inaction' number for executive reporting.</w:t>
      </w:r>
    </w:p>
    <w:p>
      <w:pPr>
        <w:pStyle w:val="ListBullet"/>
        <w:spacing w:after="80"/>
        <w:ind w:left="360"/>
      </w:pPr>
      <w:r>
        <w:rPr>
          <w:sz w:val="22"/>
        </w:rPr>
        <w:t>Recoverable Value (with immediate action): The value that CAN be saved if the zone-specific playbook actions are executed immediately. This is the ROI of the ML system.</w:t>
      </w:r>
    </w:p>
    <w:p/>
    <w:tbl>
      <w:tblPr>
        <w:tblStyle w:val="TableGrid"/>
        <w:tblW w:type="auto" w:w="0"/>
        <w:tblLook w:firstColumn="1" w:firstRow="1" w:lastColumn="0" w:lastRow="0" w:noHBand="0" w:noVBand="1" w:val="04A0"/>
      </w:tblPr>
      <w:tblGrid>
        <w:gridCol w:w="9406"/>
      </w:tblGrid>
      <w:tr>
        <w:tc>
          <w:tcPr>
            <w:tcW w:type="dxa" w:w="9406"/>
            <w:shd w:val="clear" w:color="auto" w:fill="F5F3FF"/>
          </w:tcPr>
          <w:p>
            <w:r>
              <w:rPr>
                <w:b/>
                <w:color w:val="10B981"/>
                <w:sz w:val="22"/>
              </w:rPr>
              <w:t xml:space="preserve">  Why Quantified Recovery Rates Make the AI Trustworthy:</w:t>
            </w:r>
          </w:p>
          <w:p>
            <w:r>
              <w:rPr>
                <w:color w:val="334155"/>
                <w:sz w:val="21"/>
              </w:rPr>
              <w:t xml:space="preserve">  Many AI systems produce a risk label and stop there. The PharmaTrace approach goes further: it attaches expected recovery rates (55%, 82%, 96%) derived from industry benchmarks for each intervention type. This allows a CFO to say: 'If we act on the Critical zone today, we expect to recover 55 cents on every dollar at risk.' That quantified business case is what earns executive trust in an AI-driven recommendation — far more convincingly than a model accuracy statistic alone.</w:t>
            </w:r>
          </w:p>
        </w:tc>
      </w:tr>
    </w:tbl>
    <w:p/>
    <w:p>
      <w:pPr>
        <w:pStyle w:val="Heading2"/>
        <w:jc w:val="left"/>
      </w:pPr>
      <w:r>
        <w:rPr>
          <w:b/>
          <w:color w:val="1F3864"/>
        </w:rPr>
        <w:t>9.4 Regulatory Auditability</w:t>
      </w:r>
    </w:p>
    <w:p>
      <w:pPr>
        <w:spacing w:after="120" w:line="360" w:lineRule="auto"/>
      </w:pPr>
      <w:r>
        <w:rPr>
          <w:b w:val="0"/>
          <w:i w:val="0"/>
          <w:sz w:val="22"/>
        </w:rPr>
        <w:t>From an FDA/CDSCO audit perspective, XAI ensures the system is defensible:</w:t>
      </w:r>
    </w:p>
    <w:p>
      <w:pPr>
        <w:pStyle w:val="ListBullet"/>
        <w:spacing w:after="80"/>
        <w:ind w:left="360"/>
      </w:pPr>
      <w:r>
        <w:rPr>
          <w:sz w:val="22"/>
        </w:rPr>
        <w:t>Every At-Risk classification is traceable to specific feature values (DTE, velocity, cover days) — not a black-box algorithm.</w:t>
      </w:r>
    </w:p>
    <w:p>
      <w:pPr>
        <w:pStyle w:val="ListBullet"/>
        <w:spacing w:after="80"/>
        <w:ind w:left="360"/>
      </w:pPr>
      <w:r>
        <w:rPr>
          <w:sz w:val="22"/>
        </w:rPr>
        <w:t>The risk classification method (RAG-status, velocity pressure, or DTE quantile) is logged and displayed in the dashboard for every model run.</w:t>
      </w:r>
    </w:p>
    <w:p>
      <w:pPr>
        <w:pStyle w:val="ListBullet"/>
        <w:spacing w:after="80"/>
        <w:ind w:left="360"/>
      </w:pPr>
      <w:r>
        <w:rPr>
          <w:sz w:val="22"/>
        </w:rPr>
        <w:t>Recovery zones have explicit, documented thresholds (DTE &lt;= 90, VP &gt; 1.0, etc.) that can be reviewed and approved by QA management.</w:t>
      </w:r>
    </w:p>
    <w:p>
      <w:pPr>
        <w:pStyle w:val="ListBullet"/>
        <w:spacing w:after="80"/>
        <w:ind w:left="360"/>
      </w:pPr>
      <w:r>
        <w:rPr>
          <w:sz w:val="22"/>
        </w:rPr>
        <w:t>The probability score per batch is available in the batch-level output table, providing a documented audit trail of which batches were flagged and why.</w:t>
      </w:r>
    </w:p>
    <w:p/>
    <w:p>
      <w:r>
        <w:br w:type="page"/>
      </w:r>
    </w:p>
    <w:p>
      <w:pPr>
        <w:pStyle w:val="Heading1"/>
        <w:jc w:val="left"/>
      </w:pPr>
      <w:r>
        <w:rPr>
          <w:b/>
          <w:color w:val="1F3864"/>
        </w:rPr>
        <w:t>10. Model Performance — How to Read the Metrics</w:t>
      </w:r>
    </w:p>
    <w:p>
      <w:pPr>
        <w:pStyle w:val="Heading2"/>
        <w:jc w:val="left"/>
      </w:pPr>
      <w:r>
        <w:rPr>
          <w:b/>
          <w:color w:val="1F3864"/>
        </w:rPr>
        <w:t>10.1 Metric Definitions</w:t>
      </w:r>
    </w:p>
    <w:p>
      <w:pPr>
        <w:pStyle w:val="ListBullet"/>
        <w:spacing w:after="80"/>
        <w:ind w:left="360"/>
      </w:pPr>
      <w:r>
        <w:rPr>
          <w:b/>
          <w:sz w:val="22"/>
        </w:rPr>
        <w:t xml:space="preserve">Accuracy: </w:t>
      </w:r>
      <w:r>
        <w:rPr>
          <w:sz w:val="22"/>
        </w:rPr>
        <w:t xml:space="preserve"> Percentage of all batches correctly classified. Can be misleading if classes are imbalanced — a model that always predicts 'Safe' has high accuracy if only 5% of batches are at risk.</w:t>
      </w:r>
    </w:p>
    <w:p>
      <w:pPr>
        <w:pStyle w:val="ListBullet"/>
        <w:spacing w:after="80"/>
        <w:ind w:left="360"/>
      </w:pPr>
      <w:r>
        <w:rPr>
          <w:b/>
          <w:sz w:val="22"/>
        </w:rPr>
        <w:t xml:space="preserve">Precision: </w:t>
      </w:r>
      <w:r>
        <w:rPr>
          <w:sz w:val="22"/>
        </w:rPr>
        <w:t xml:space="preserve"> Of all batches the model calls 'At Risk', what percentage actually are? Low precision = many false alarms wasting operational resources.</w:t>
      </w:r>
    </w:p>
    <w:p>
      <w:pPr>
        <w:pStyle w:val="ListBullet"/>
        <w:spacing w:after="80"/>
        <w:ind w:left="360"/>
      </w:pPr>
      <w:r>
        <w:rPr>
          <w:b/>
          <w:sz w:val="22"/>
        </w:rPr>
        <w:t xml:space="preserve">Recall (Sensitivity): </w:t>
      </w:r>
      <w:r>
        <w:rPr>
          <w:sz w:val="22"/>
        </w:rPr>
        <w:t xml:space="preserve"> Of all batches that truly ARE at risk, what percentage does the model catch? Low recall = missed write-offs. This is the most dangerous error in pharma.</w:t>
      </w:r>
    </w:p>
    <w:p>
      <w:pPr>
        <w:pStyle w:val="ListBullet"/>
        <w:spacing w:after="80"/>
        <w:ind w:left="360"/>
      </w:pPr>
      <w:r>
        <w:rPr>
          <w:b/>
          <w:sz w:val="22"/>
        </w:rPr>
        <w:t xml:space="preserve">Weighted F1 Score: </w:t>
      </w:r>
      <w:r>
        <w:rPr>
          <w:sz w:val="22"/>
        </w:rPr>
        <w:t xml:space="preserve"> Harmonic mean of Precision and Recall, weighted by class frequency. Champion selection metric because it balances both error types and accounts for class imbalance.</w:t>
      </w:r>
    </w:p>
    <w:p>
      <w:pPr>
        <w:pStyle w:val="ListBullet"/>
        <w:spacing w:after="80"/>
        <w:ind w:left="360"/>
      </w:pPr>
      <w:r>
        <w:rPr>
          <w:b/>
          <w:sz w:val="22"/>
        </w:rPr>
        <w:t xml:space="preserve">Training Latency: </w:t>
      </w:r>
      <w:r>
        <w:rPr>
          <w:sz w:val="22"/>
        </w:rPr>
        <w:t xml:space="preserve"> Time to train the model in milliseconds. Important for real-time re-training on new inventory uploads.</w:t>
      </w:r>
    </w:p>
    <w:p/>
    <w:p>
      <w:pPr>
        <w:pStyle w:val="Heading2"/>
        <w:jc w:val="left"/>
      </w:pPr>
      <w:r>
        <w:rPr>
          <w:b/>
          <w:color w:val="1F3864"/>
        </w:rPr>
        <w:t>10.2 Reading the Confusion Matrix</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3864"/>
          </w:tcPr>
          <w:p>
            <w:r>
              <w:rPr>
                <w:b/>
                <w:color w:val="FFFFFF"/>
                <w:sz w:val="19"/>
              </w:rPr>
            </w:r>
          </w:p>
        </w:tc>
        <w:tc>
          <w:tcPr>
            <w:tcW w:type="dxa" w:w="3135"/>
            <w:shd w:val="clear" w:color="auto" w:fill="1F3864"/>
          </w:tcPr>
          <w:p>
            <w:r>
              <w:rPr>
                <w:b/>
                <w:color w:val="FFFFFF"/>
                <w:sz w:val="19"/>
              </w:rPr>
              <w:t>Predicted: Safe</w:t>
            </w:r>
          </w:p>
        </w:tc>
        <w:tc>
          <w:tcPr>
            <w:tcW w:type="dxa" w:w="3135"/>
            <w:shd w:val="clear" w:color="auto" w:fill="1F3864"/>
          </w:tcPr>
          <w:p>
            <w:r>
              <w:rPr>
                <w:b/>
                <w:color w:val="FFFFFF"/>
                <w:sz w:val="19"/>
              </w:rPr>
              <w:t>Predicted: At Risk</w:t>
            </w:r>
          </w:p>
        </w:tc>
      </w:tr>
      <w:tr>
        <w:tc>
          <w:tcPr>
            <w:tcW w:type="dxa" w:w="3135"/>
            <w:shd w:val="clear" w:color="auto" w:fill="1F3864"/>
          </w:tcPr>
          <w:p>
            <w:r>
              <w:rPr>
                <w:b/>
                <w:color w:val="FFFFFF"/>
                <w:sz w:val="19"/>
              </w:rPr>
              <w:t>Actual: Safe</w:t>
            </w:r>
          </w:p>
        </w:tc>
        <w:tc>
          <w:tcPr>
            <w:tcW w:type="dxa" w:w="3135"/>
          </w:tcPr>
          <w:p>
            <w:r>
              <w:rPr>
                <w:sz w:val="19"/>
              </w:rPr>
              <w:t>True Negative (TN) - Correctly identified safe batches.</w:t>
            </w:r>
          </w:p>
        </w:tc>
        <w:tc>
          <w:tcPr>
            <w:tcW w:type="dxa" w:w="3135"/>
          </w:tcPr>
          <w:p>
            <w:r>
              <w:rPr>
                <w:sz w:val="19"/>
              </w:rPr>
              <w:t>False Positive (FP) - Safe batch flagged as at-risk. Cost: unnecessary intervention.</w:t>
            </w:r>
          </w:p>
        </w:tc>
      </w:tr>
      <w:tr>
        <w:tc>
          <w:tcPr>
            <w:tcW w:type="dxa" w:w="3135"/>
            <w:shd w:val="clear" w:color="auto" w:fill="1F3864"/>
          </w:tcPr>
          <w:p>
            <w:r>
              <w:rPr>
                <w:b/>
                <w:color w:val="FFFFFF"/>
                <w:sz w:val="19"/>
              </w:rPr>
              <w:t>Actual: At Risk</w:t>
            </w:r>
          </w:p>
        </w:tc>
        <w:tc>
          <w:tcPr>
            <w:tcW w:type="dxa" w:w="3135"/>
            <w:shd w:val="clear" w:color="auto" w:fill="FEE2E2"/>
          </w:tcPr>
          <w:p>
            <w:r>
              <w:rPr>
                <w:sz w:val="19"/>
              </w:rPr>
              <w:t>False Negative (FN) - At-risk batch MISSED. Cost: write-off loss. WORST OUTCOME.</w:t>
            </w:r>
          </w:p>
        </w:tc>
        <w:tc>
          <w:tcPr>
            <w:tcW w:type="dxa" w:w="3135"/>
            <w:shd w:val="clear" w:color="auto" w:fill="DCFCE7"/>
          </w:tcPr>
          <w:p>
            <w:r>
              <w:rPr>
                <w:sz w:val="19"/>
              </w:rPr>
              <w:t>True Positive (TP) - Correctly caught at-risk batch. Value: expiry prevented.</w:t>
            </w:r>
          </w:p>
        </w:tc>
      </w:tr>
    </w:tbl>
    <w:p/>
    <w:tbl>
      <w:tblPr>
        <w:tblStyle w:val="TableGrid"/>
        <w:tblW w:type="auto" w:w="0"/>
        <w:tblLook w:firstColumn="1" w:firstRow="1" w:lastColumn="0" w:lastRow="0" w:noHBand="0" w:noVBand="1" w:val="04A0"/>
      </w:tblPr>
      <w:tblGrid>
        <w:gridCol w:w="9406"/>
      </w:tblGrid>
      <w:tr>
        <w:tc>
          <w:tcPr>
            <w:tcW w:type="dxa" w:w="9406"/>
            <w:shd w:val="clear" w:color="auto" w:fill="F5F3FF"/>
          </w:tcPr>
          <w:p>
            <w:r>
              <w:rPr>
                <w:b/>
                <w:color w:val="DC2626"/>
                <w:sz w:val="22"/>
              </w:rPr>
              <w:t xml:space="preserve">  Priority: Minimise False Negatives.</w:t>
            </w:r>
          </w:p>
          <w:p>
            <w:r>
              <w:rPr>
                <w:color w:val="334155"/>
                <w:sz w:val="21"/>
              </w:rPr>
              <w:t xml:space="preserve">  A False Positive (unnecessary intervention) wastes operational resources but costs little financially. A False Negative (missed expiry) results in 100% write-off of the batch value plus regulatory risk. When tuning the probability threshold, pharma operators should bias toward lower thresholds (catch more At-Risk, accept more False Positives) to minimise write-offs.</w:t>
            </w:r>
          </w:p>
        </w:tc>
      </w:tr>
    </w:tbl>
    <w:p/>
    <w:p>
      <w:r>
        <w:br w:type="page"/>
      </w:r>
    </w:p>
    <w:p>
      <w:pPr>
        <w:pStyle w:val="Heading1"/>
        <w:jc w:val="left"/>
      </w:pPr>
      <w:r>
        <w:rPr>
          <w:b/>
          <w:color w:val="1F3864"/>
        </w:rPr>
        <w:t>11. Management Action Framework — By Probability Band</w:t>
      </w:r>
    </w:p>
    <w:p>
      <w:pPr>
        <w:spacing w:after="160" w:line="360" w:lineRule="auto"/>
      </w:pPr>
      <w:r>
        <w:rPr>
          <w:b w:val="0"/>
          <w:i w:val="0"/>
          <w:sz w:val="22"/>
        </w:rPr>
        <w:t>The classifier is only useful if it drives action. Below is the complete decision framework for each probability band, mapped to specific operational playbook steps:</w:t>
      </w:r>
    </w:p>
    <w:p>
      <w:r>
        <w:rPr>
          <w:b/>
          <w:color w:val="EF4444"/>
          <w:sz w:val="24"/>
        </w:rPr>
        <w:t xml:space="preserve">  DEFINITE RISK (&gt;80% probability) — Emergency within 72 hours</w:t>
      </w:r>
    </w:p>
    <w:p>
      <w:pPr>
        <w:pStyle w:val="ListBullet"/>
        <w:spacing w:after="80"/>
        <w:ind w:left="360"/>
      </w:pPr>
      <w:r>
        <w:rPr>
          <w:sz w:val="22"/>
        </w:rPr>
        <w:t>Immediately stop all standard commercial sales of this batch.</w:t>
      </w:r>
    </w:p>
    <w:p>
      <w:pPr>
        <w:pStyle w:val="ListBullet"/>
        <w:spacing w:after="80"/>
        <w:ind w:left="360"/>
      </w:pPr>
      <w:r>
        <w:rPr>
          <w:sz w:val="22"/>
        </w:rPr>
        <w:t>Initiate inter-warehouse emergency transfer to the highest-velocity DC for same-week dispatch.</w:t>
      </w:r>
    </w:p>
    <w:p>
      <w:pPr>
        <w:pStyle w:val="ListBullet"/>
        <w:spacing w:after="80"/>
        <w:ind w:left="360"/>
      </w:pPr>
      <w:r>
        <w:rPr>
          <w:sz w:val="22"/>
        </w:rPr>
        <w:t>If DTE &lt; 30 days: activate secondary market liquidator (expect 40-60% value recovery).</w:t>
      </w:r>
    </w:p>
    <w:p>
      <w:pPr>
        <w:pStyle w:val="ListBullet"/>
        <w:spacing w:after="80"/>
        <w:ind w:left="360"/>
      </w:pPr>
      <w:r>
        <w:rPr>
          <w:sz w:val="22"/>
        </w:rPr>
        <w:t>If DTE &lt; 7 days or already expired: submit certified destruction manifest to CDSCO/FDA within 72 hours.</w:t>
      </w:r>
    </w:p>
    <w:p>
      <w:pPr>
        <w:pStyle w:val="ListBullet"/>
        <w:spacing w:after="80"/>
        <w:ind w:left="360"/>
      </w:pPr>
      <w:r>
        <w:rPr>
          <w:sz w:val="22"/>
        </w:rPr>
        <w:t>Notify procurement team: block re-order of this SKU until velocity analysis is completed.</w:t>
      </w:r>
    </w:p>
    <w:p>
      <w:pPr>
        <w:pStyle w:val="ListBullet"/>
        <w:spacing w:after="80"/>
        <w:ind w:left="360"/>
      </w:pPr>
      <w:r>
        <w:rPr>
          <w:sz w:val="22"/>
        </w:rPr>
        <w:t>Log in ERP with write-off provision for any unrecovered value.</w:t>
      </w:r>
    </w:p>
    <w:p/>
    <w:p>
      <w:r>
        <w:rPr>
          <w:b/>
          <w:color w:val="F97316"/>
          <w:sz w:val="24"/>
        </w:rPr>
        <w:t xml:space="preserve">  LIKELY RISK (50-80% probability) — Urgent action this week</w:t>
      </w:r>
    </w:p>
    <w:p>
      <w:pPr>
        <w:pStyle w:val="ListBullet"/>
        <w:spacing w:after="80"/>
        <w:ind w:left="360"/>
      </w:pPr>
      <w:r>
        <w:rPr>
          <w:sz w:val="22"/>
        </w:rPr>
        <w:t>Schedule inter-warehouse transfer to a higher-velocity distribution center within 5 business days.</w:t>
      </w:r>
    </w:p>
    <w:p>
      <w:pPr>
        <w:pStyle w:val="ListBullet"/>
        <w:spacing w:after="80"/>
        <w:ind w:left="360"/>
      </w:pPr>
      <w:r>
        <w:rPr>
          <w:sz w:val="22"/>
        </w:rPr>
        <w:t>Assign to a specific sales channel push program (hospital direct, clinic network, retail promotion).</w:t>
      </w:r>
    </w:p>
    <w:p>
      <w:pPr>
        <w:pStyle w:val="ListBullet"/>
        <w:spacing w:after="80"/>
        <w:ind w:left="360"/>
      </w:pPr>
      <w:r>
        <w:rPr>
          <w:sz w:val="22"/>
        </w:rPr>
        <w:t>Review current pricing: apply tiered dynamic discounting if margin permits.</w:t>
      </w:r>
    </w:p>
    <w:p>
      <w:pPr>
        <w:pStyle w:val="ListBullet"/>
        <w:spacing w:after="80"/>
        <w:ind w:left="360"/>
      </w:pPr>
      <w:r>
        <w:rPr>
          <w:sz w:val="22"/>
        </w:rPr>
        <w:t>Escalate to regional sales manager for demand acceleration plan.</w:t>
      </w:r>
    </w:p>
    <w:p>
      <w:pPr>
        <w:pStyle w:val="ListBullet"/>
        <w:spacing w:after="80"/>
        <w:ind w:left="360"/>
      </w:pPr>
      <w:r>
        <w:rPr>
          <w:sz w:val="22"/>
        </w:rPr>
        <w:t>Re-evaluate in 7 days: if velocity has not improved, escalate to Definite Risk protocol.</w:t>
      </w:r>
    </w:p>
    <w:p/>
    <w:p>
      <w:r>
        <w:rPr>
          <w:b/>
          <w:color w:val="EAB308"/>
          <w:sz w:val="24"/>
        </w:rPr>
        <w:t xml:space="preserve">  UNCERTAIN (20-50% probability) — Monitor weekly</w:t>
      </w:r>
    </w:p>
    <w:p>
      <w:pPr>
        <w:pStyle w:val="ListBullet"/>
        <w:spacing w:after="80"/>
        <w:ind w:left="360"/>
      </w:pPr>
      <w:r>
        <w:rPr>
          <w:sz w:val="22"/>
        </w:rPr>
        <w:t>Add to weekly supply chain review agenda.</w:t>
      </w:r>
    </w:p>
    <w:p>
      <w:pPr>
        <w:pStyle w:val="ListBullet"/>
        <w:spacing w:after="80"/>
        <w:ind w:left="360"/>
      </w:pPr>
      <w:r>
        <w:rPr>
          <w:sz w:val="22"/>
        </w:rPr>
        <w:t>Monitor dispatch velocity trend over next 14 days.</w:t>
      </w:r>
    </w:p>
    <w:p>
      <w:pPr>
        <w:pStyle w:val="ListBullet"/>
        <w:spacing w:after="80"/>
        <w:ind w:left="360"/>
      </w:pPr>
      <w:r>
        <w:rPr>
          <w:sz w:val="22"/>
        </w:rPr>
        <w:t>Assign as priority inventory for any upcoming promotional or tender allocation.</w:t>
      </w:r>
    </w:p>
    <w:p>
      <w:pPr>
        <w:pStyle w:val="ListBullet"/>
        <w:spacing w:after="80"/>
        <w:ind w:left="360"/>
      </w:pPr>
      <w:r>
        <w:rPr>
          <w:sz w:val="22"/>
        </w:rPr>
        <w:t>Do not liquidate yet — demand improvement may resolve the risk naturally.</w:t>
      </w:r>
    </w:p>
    <w:p>
      <w:pPr>
        <w:pStyle w:val="ListBullet"/>
        <w:spacing w:after="80"/>
        <w:ind w:left="360"/>
      </w:pPr>
      <w:r>
        <w:rPr>
          <w:sz w:val="22"/>
        </w:rPr>
        <w:t>If DTE drops below 90 days with no velocity improvement, upgrade to Likely Risk.</w:t>
      </w:r>
    </w:p>
    <w:p/>
    <w:p>
      <w:r>
        <w:rPr>
          <w:b/>
          <w:color w:val="10B981"/>
          <w:sz w:val="24"/>
        </w:rPr>
        <w:t xml:space="preserve">  ON TRACK (&lt;20% probability) — Standard management</w:t>
      </w:r>
    </w:p>
    <w:p>
      <w:pPr>
        <w:pStyle w:val="ListBullet"/>
        <w:spacing w:after="80"/>
        <w:ind w:left="360"/>
      </w:pPr>
      <w:r>
        <w:rPr>
          <w:sz w:val="22"/>
        </w:rPr>
        <w:t>Manage under standard FEFO (First Expiry First Out) protocols.</w:t>
      </w:r>
    </w:p>
    <w:p>
      <w:pPr>
        <w:pStyle w:val="ListBullet"/>
        <w:spacing w:after="80"/>
        <w:ind w:left="360"/>
      </w:pPr>
      <w:r>
        <w:rPr>
          <w:sz w:val="22"/>
        </w:rPr>
        <w:t>No special intervention required.</w:t>
      </w:r>
    </w:p>
    <w:p>
      <w:pPr>
        <w:pStyle w:val="ListBullet"/>
        <w:spacing w:after="80"/>
        <w:ind w:left="360"/>
      </w:pPr>
      <w:r>
        <w:rPr>
          <w:sz w:val="22"/>
        </w:rPr>
        <w:t>Include in monthly inventory review cycle.</w:t>
      </w:r>
    </w:p>
    <w:p>
      <w:pPr>
        <w:pStyle w:val="ListBullet"/>
        <w:spacing w:after="80"/>
        <w:ind w:left="360"/>
      </w:pPr>
      <w:r>
        <w:rPr>
          <w:sz w:val="22"/>
        </w:rPr>
        <w:t>Monitor for any sudden velocity drops that could shift to Uncertain band.</w:t>
      </w:r>
    </w:p>
    <w:p/>
    <w:p>
      <w:r>
        <w:br w:type="page"/>
      </w:r>
    </w:p>
    <w:p>
      <w:pPr>
        <w:pStyle w:val="Heading1"/>
        <w:jc w:val="left"/>
      </w:pPr>
      <w:r>
        <w:rPr>
          <w:b/>
          <w:color w:val="1F3864"/>
        </w:rPr>
        <w:t>12. Limitations and Future Work</w:t>
      </w:r>
    </w:p>
    <w:p>
      <w:pPr>
        <w:pStyle w:val="Heading2"/>
        <w:jc w:val="left"/>
      </w:pPr>
      <w:r>
        <w:rPr>
          <w:b/>
          <w:color w:val="1F3864"/>
        </w:rPr>
        <w:t>12.1 Current Limitations</w:t>
      </w:r>
    </w:p>
    <w:p>
      <w:pPr>
        <w:pStyle w:val="ListBullet"/>
        <w:spacing w:after="80"/>
        <w:ind w:left="360"/>
      </w:pPr>
      <w:r>
        <w:rPr>
          <w:b/>
          <w:sz w:val="22"/>
        </w:rPr>
        <w:t xml:space="preserve">Flat velocity assumption: </w:t>
      </w:r>
      <w:r>
        <w:rPr>
          <w:sz w:val="22"/>
        </w:rPr>
        <w:t xml:space="preserve"> The base-case model uses a 24-month average dispatch velocity. It cannot distinguish seasonality patterns within the historical window.</w:t>
      </w:r>
    </w:p>
    <w:p>
      <w:pPr>
        <w:pStyle w:val="ListBullet"/>
        <w:spacing w:after="80"/>
        <w:ind w:left="360"/>
      </w:pPr>
      <w:r>
        <w:rPr>
          <w:b/>
          <w:sz w:val="22"/>
        </w:rPr>
        <w:t xml:space="preserve">No external demand signals: </w:t>
      </w:r>
      <w:r>
        <w:rPr>
          <w:sz w:val="22"/>
        </w:rPr>
        <w:t xml:space="preserve"> The model does not ingest epidemiological alerts, tender calendars, competitor launches, or regulatory inspection dates — all of which materially affect velocity.</w:t>
      </w:r>
    </w:p>
    <w:p>
      <w:pPr>
        <w:pStyle w:val="ListBullet"/>
        <w:spacing w:after="80"/>
        <w:ind w:left="360"/>
      </w:pPr>
      <w:r>
        <w:rPr>
          <w:b/>
          <w:sz w:val="22"/>
        </w:rPr>
        <w:t xml:space="preserve">Proxy standard deviation: </w:t>
      </w:r>
      <w:r>
        <w:rPr>
          <w:sz w:val="22"/>
        </w:rPr>
        <w:t xml:space="preserve"> The demand scenario analysis uses a fixed 25% CV as proxy. For OTC and seasonal products, actual CV may be 40-80%.</w:t>
      </w:r>
    </w:p>
    <w:p>
      <w:pPr>
        <w:pStyle w:val="ListBullet"/>
        <w:spacing w:after="80"/>
        <w:ind w:left="360"/>
      </w:pPr>
      <w:r>
        <w:rPr>
          <w:b/>
          <w:sz w:val="22"/>
        </w:rPr>
        <w:t xml:space="preserve">No time-series structure: </w:t>
      </w:r>
      <w:r>
        <w:rPr>
          <w:sz w:val="22"/>
        </w:rPr>
        <w:t xml:space="preserve"> The classifier treats each batch as an independent observation and does not model demand trend (accelerating or decelerating velocity) within remaining shelf life.</w:t>
      </w:r>
    </w:p>
    <w:p>
      <w:pPr>
        <w:pStyle w:val="ListBullet"/>
        <w:spacing w:after="80"/>
        <w:ind w:left="360"/>
      </w:pPr>
      <w:r>
        <w:rPr>
          <w:b/>
          <w:sz w:val="22"/>
        </w:rPr>
        <w:t xml:space="preserve">Synthetic dataset: </w:t>
      </w:r>
      <w:r>
        <w:rPr>
          <w:sz w:val="22"/>
        </w:rPr>
        <w:t xml:space="preserve"> The capstone dashboard runs on synthesised data. Model performance on real ERP data may differ due to data quality issues.</w:t>
      </w:r>
    </w:p>
    <w:p/>
    <w:p>
      <w:pPr>
        <w:pStyle w:val="Heading2"/>
        <w:jc w:val="left"/>
      </w:pPr>
      <w:r>
        <w:rPr>
          <w:b/>
          <w:color w:val="1F3864"/>
        </w:rPr>
        <w:t>12.2 Future Enhancements</w:t>
      </w:r>
    </w:p>
    <w:p>
      <w:pPr>
        <w:pStyle w:val="ListBullet"/>
        <w:spacing w:after="80"/>
        <w:ind w:left="360"/>
      </w:pPr>
      <w:r>
        <w:rPr>
          <w:b/>
          <w:sz w:val="22"/>
        </w:rPr>
        <w:t xml:space="preserve">Prophet/ARIMA Demand Forecast: </w:t>
      </w:r>
      <w:r>
        <w:rPr>
          <w:sz w:val="22"/>
        </w:rPr>
        <w:t xml:space="preserve"> Replace flat velocity with a per-SKU, per-warehouse demand forecast. Decompose seasonal, trend, and residual demand components for time-aware expiry prediction.</w:t>
      </w:r>
    </w:p>
    <w:p>
      <w:pPr>
        <w:pStyle w:val="ListBullet"/>
        <w:spacing w:after="80"/>
        <w:ind w:left="360"/>
      </w:pPr>
      <w:r>
        <w:rPr>
          <w:b/>
          <w:sz w:val="22"/>
        </w:rPr>
        <w:t xml:space="preserve">Velocity CV as a Feature: </w:t>
      </w:r>
      <w:r>
        <w:rPr>
          <w:sz w:val="22"/>
        </w:rPr>
        <w:t xml:space="preserve"> Compute the actual standard deviation of monthly dispatch for each SKU. Add velocity_cv as an explicit model feature — high CV products should carry higher risk scores.</w:t>
      </w:r>
    </w:p>
    <w:p>
      <w:pPr>
        <w:pStyle w:val="ListBullet"/>
        <w:spacing w:after="80"/>
        <w:ind w:left="360"/>
      </w:pPr>
      <w:r>
        <w:rPr>
          <w:b/>
          <w:sz w:val="22"/>
        </w:rPr>
        <w:t xml:space="preserve">Monte Carlo Simulation: </w:t>
      </w:r>
      <w:r>
        <w:rPr>
          <w:sz w:val="22"/>
        </w:rPr>
        <w:t xml:space="preserve"> Run 10,000 demand simulations per batch, sampling velocity from its historical distribution. Output 5th, 50th, and 95th percentile clearance dates.</w:t>
      </w:r>
    </w:p>
    <w:p>
      <w:pPr>
        <w:pStyle w:val="ListBullet"/>
        <w:spacing w:after="80"/>
        <w:ind w:left="360"/>
      </w:pPr>
      <w:r>
        <w:rPr>
          <w:b/>
          <w:sz w:val="22"/>
        </w:rPr>
        <w:t xml:space="preserve">External Signal Integration: </w:t>
      </w:r>
      <w:r>
        <w:rPr>
          <w:sz w:val="22"/>
        </w:rPr>
        <w:t xml:space="preserve"> Ingest disease surveillance APIs (WHO, ICMR), tender award notifications, and competitor launch dates as exogenous features in the demand model.</w:t>
      </w:r>
    </w:p>
    <w:p>
      <w:pPr>
        <w:pStyle w:val="ListBullet"/>
        <w:spacing w:after="80"/>
        <w:ind w:left="360"/>
      </w:pPr>
      <w:r>
        <w:rPr>
          <w:b/>
          <w:sz w:val="22"/>
        </w:rPr>
        <w:t xml:space="preserve">Reinforcement Learning: </w:t>
      </w:r>
      <w:r>
        <w:rPr>
          <w:sz w:val="22"/>
        </w:rPr>
        <w:t xml:space="preserve"> Train an RL agent on historical expiry/recovery data to learn optimal intervention timing and channel per batch — moving from classifier to prescriptive decision engine.</w:t>
      </w:r>
    </w:p>
    <w:p>
      <w:r>
        <w:br w:type="page"/>
      </w:r>
    </w:p>
    <w:p>
      <w:pPr>
        <w:pStyle w:val="Heading1"/>
        <w:jc w:val="left"/>
      </w:pPr>
      <w:r>
        <w:rPr>
          <w:b/>
          <w:color w:val="1F3864"/>
        </w:rPr>
        <w:t>13. Glossary of Key Terms</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b/>
                <w:color w:val="FFFFFF"/>
                <w:sz w:val="20"/>
              </w:rPr>
              <w:t>Term</w:t>
            </w:r>
          </w:p>
        </w:tc>
        <w:tc>
          <w:tcPr>
            <w:tcW w:type="dxa" w:w="4703"/>
            <w:shd w:val="clear" w:color="auto" w:fill="1F3864"/>
          </w:tcPr>
          <w:p>
            <w:r>
              <w:rPr>
                <w:b/>
                <w:color w:val="FFFFFF"/>
                <w:sz w:val="20"/>
              </w:rPr>
              <w:t>Definition</w:t>
            </w:r>
          </w:p>
        </w:tc>
      </w:tr>
      <w:tr>
        <w:tc>
          <w:tcPr>
            <w:tcW w:type="dxa" w:w="4703"/>
            <w:vAlign w:val="center"/>
          </w:tcPr>
          <w:p>
            <w:r>
              <w:rPr>
                <w:b w:val="0"/>
                <w:sz w:val="19"/>
              </w:rPr>
              <w:t>DTE</w:t>
            </w:r>
          </w:p>
        </w:tc>
        <w:tc>
          <w:tcPr>
            <w:tcW w:type="dxa" w:w="4703"/>
            <w:vAlign w:val="center"/>
          </w:tcPr>
          <w:p>
            <w:r>
              <w:rPr>
                <w:b w:val="0"/>
                <w:sz w:val="19"/>
              </w:rPr>
              <w:t>Days to Expiry — calendar days between today and a batch's expiry date.</w:t>
            </w:r>
          </w:p>
        </w:tc>
      </w:tr>
      <w:tr>
        <w:tc>
          <w:tcPr>
            <w:tcW w:type="dxa" w:w="4703"/>
            <w:vAlign w:val="center"/>
          </w:tcPr>
          <w:p>
            <w:r>
              <w:rPr>
                <w:b w:val="0"/>
                <w:sz w:val="19"/>
              </w:rPr>
              <w:t>Cover Days</w:t>
            </w:r>
          </w:p>
        </w:tc>
        <w:tc>
          <w:tcPr>
            <w:tcW w:type="dxa" w:w="4703"/>
            <w:vAlign w:val="center"/>
          </w:tcPr>
          <w:p>
            <w:r>
              <w:rPr>
                <w:b w:val="0"/>
                <w:sz w:val="19"/>
              </w:rPr>
              <w:t>Inventory Runway — how many days of stock remain at current average dispatch velocity. Formula: (Qty on Hand / Monthly Velocity) x 30.</w:t>
            </w:r>
          </w:p>
        </w:tc>
      </w:tr>
      <w:tr>
        <w:tc>
          <w:tcPr>
            <w:tcW w:type="dxa" w:w="4703"/>
            <w:vAlign w:val="center"/>
          </w:tcPr>
          <w:p>
            <w:r>
              <w:rPr>
                <w:b w:val="0"/>
                <w:sz w:val="19"/>
              </w:rPr>
              <w:t>Velocity Pressure (VP)</w:t>
            </w:r>
          </w:p>
        </w:tc>
        <w:tc>
          <w:tcPr>
            <w:tcW w:type="dxa" w:w="4703"/>
            <w:vAlign w:val="center"/>
          </w:tcPr>
          <w:p>
            <w:r>
              <w:rPr>
                <w:b w:val="0"/>
                <w:sz w:val="19"/>
              </w:rPr>
              <w:t>The ratio of Cover Days to DTE. VP &gt; 1.0 means stock coverage exceeds remaining shelf life — expiry is mathematically certain at current velocity.</w:t>
            </w:r>
          </w:p>
        </w:tc>
      </w:tr>
      <w:tr>
        <w:tc>
          <w:tcPr>
            <w:tcW w:type="dxa" w:w="4703"/>
            <w:vAlign w:val="center"/>
          </w:tcPr>
          <w:p>
            <w:r>
              <w:rPr>
                <w:b w:val="0"/>
                <w:sz w:val="19"/>
              </w:rPr>
              <w:t>RSL</w:t>
            </w:r>
          </w:p>
        </w:tc>
        <w:tc>
          <w:tcPr>
            <w:tcW w:type="dxa" w:w="4703"/>
            <w:vAlign w:val="center"/>
          </w:tcPr>
          <w:p>
            <w:r>
              <w:rPr>
                <w:b w:val="0"/>
                <w:sz w:val="19"/>
              </w:rPr>
              <w:t>Residual Shelf Life — percentage of approved shelf life remaining on a batch. Distributors typically require &gt;=50% RSL at point of delivery.</w:t>
            </w:r>
          </w:p>
        </w:tc>
      </w:tr>
      <w:tr>
        <w:tc>
          <w:tcPr>
            <w:tcW w:type="dxa" w:w="4703"/>
            <w:vAlign w:val="center"/>
          </w:tcPr>
          <w:p>
            <w:r>
              <w:rPr>
                <w:b w:val="0"/>
                <w:sz w:val="19"/>
              </w:rPr>
              <w:t>RAG Status</w:t>
            </w:r>
          </w:p>
        </w:tc>
        <w:tc>
          <w:tcPr>
            <w:tcW w:type="dxa" w:w="4703"/>
            <w:vAlign w:val="center"/>
          </w:tcPr>
          <w:p>
            <w:r>
              <w:rPr>
                <w:b w:val="0"/>
                <w:sz w:val="19"/>
              </w:rPr>
              <w:t>Red-Amber-Green classification based on RSL: Green (&gt;12M), Yellow (7-12M), Amber (4-6M), Red (&lt;3M / Expired).</w:t>
            </w:r>
          </w:p>
        </w:tc>
      </w:tr>
      <w:tr>
        <w:tc>
          <w:tcPr>
            <w:tcW w:type="dxa" w:w="4703"/>
            <w:vAlign w:val="center"/>
          </w:tcPr>
          <w:p>
            <w:r>
              <w:rPr>
                <w:b w:val="0"/>
                <w:sz w:val="19"/>
              </w:rPr>
              <w:t>FEFO</w:t>
            </w:r>
          </w:p>
        </w:tc>
        <w:tc>
          <w:tcPr>
            <w:tcW w:type="dxa" w:w="4703"/>
            <w:vAlign w:val="center"/>
          </w:tcPr>
          <w:p>
            <w:r>
              <w:rPr>
                <w:b w:val="0"/>
                <w:sz w:val="19"/>
              </w:rPr>
              <w:t>First Expiry First Out — mandatory pharmaceutical picking rule requiring the earliest-expiring batch to be dispatched first. Governed by FDA 21 CFR Sec 211.150 (US) and CDSCO Schedule M Section 8.2 (India).</w:t>
            </w:r>
          </w:p>
        </w:tc>
      </w:tr>
      <w:tr>
        <w:tc>
          <w:tcPr>
            <w:tcW w:type="dxa" w:w="4703"/>
            <w:vAlign w:val="center"/>
          </w:tcPr>
          <w:p>
            <w:r>
              <w:rPr>
                <w:b w:val="0"/>
                <w:sz w:val="19"/>
              </w:rPr>
              <w:t>F1 Score</w:t>
            </w:r>
          </w:p>
        </w:tc>
        <w:tc>
          <w:tcPr>
            <w:tcW w:type="dxa" w:w="4703"/>
            <w:vAlign w:val="center"/>
          </w:tcPr>
          <w:p>
            <w:r>
              <w:rPr>
                <w:b w:val="0"/>
                <w:sz w:val="19"/>
              </w:rPr>
              <w:t>Harmonic mean of Precision and Recall. Weighted F1 accounts for class imbalance. Champion model selected by highest Weighted F1.</w:t>
            </w:r>
          </w:p>
        </w:tc>
      </w:tr>
      <w:tr>
        <w:tc>
          <w:tcPr>
            <w:tcW w:type="dxa" w:w="4703"/>
            <w:vAlign w:val="center"/>
          </w:tcPr>
          <w:p>
            <w:r>
              <w:rPr>
                <w:b w:val="0"/>
                <w:sz w:val="19"/>
              </w:rPr>
              <w:t>Precision</w:t>
            </w:r>
          </w:p>
        </w:tc>
        <w:tc>
          <w:tcPr>
            <w:tcW w:type="dxa" w:w="4703"/>
            <w:vAlign w:val="center"/>
          </w:tcPr>
          <w:p>
            <w:r>
              <w:rPr>
                <w:b w:val="0"/>
                <w:sz w:val="19"/>
              </w:rPr>
              <w:t>Of all batches predicted At Risk, the fraction that actually are. High precision = fewer false alarms.</w:t>
            </w:r>
          </w:p>
        </w:tc>
      </w:tr>
      <w:tr>
        <w:tc>
          <w:tcPr>
            <w:tcW w:type="dxa" w:w="4703"/>
            <w:vAlign w:val="center"/>
          </w:tcPr>
          <w:p>
            <w:r>
              <w:rPr>
                <w:b w:val="0"/>
                <w:sz w:val="19"/>
              </w:rPr>
              <w:t>Recall / Sensitivity</w:t>
            </w:r>
          </w:p>
        </w:tc>
        <w:tc>
          <w:tcPr>
            <w:tcW w:type="dxa" w:w="4703"/>
            <w:vAlign w:val="center"/>
          </w:tcPr>
          <w:p>
            <w:r>
              <w:rPr>
                <w:b w:val="0"/>
                <w:sz w:val="19"/>
              </w:rPr>
              <w:t>Of all batches that truly are At Risk, the fraction the model catches. High recall = fewer missed write-offs. Prioritised over precision in pharma.</w:t>
            </w:r>
          </w:p>
        </w:tc>
      </w:tr>
      <w:tr>
        <w:tc>
          <w:tcPr>
            <w:tcW w:type="dxa" w:w="4703"/>
            <w:vAlign w:val="center"/>
          </w:tcPr>
          <w:p>
            <w:r>
              <w:rPr>
                <w:b w:val="0"/>
                <w:sz w:val="19"/>
              </w:rPr>
              <w:t>predict_proba()</w:t>
            </w:r>
          </w:p>
        </w:tc>
        <w:tc>
          <w:tcPr>
            <w:tcW w:type="dxa" w:w="4703"/>
            <w:vAlign w:val="center"/>
          </w:tcPr>
          <w:p>
            <w:r>
              <w:rPr>
                <w:b w:val="0"/>
                <w:sz w:val="19"/>
              </w:rPr>
              <w:t>Scikit-learn method returning the probability of each class (Safe, At Risk) for every observation. Underlying source of the 0-100% risk probability score.</w:t>
            </w:r>
          </w:p>
        </w:tc>
      </w:tr>
      <w:tr>
        <w:tc>
          <w:tcPr>
            <w:tcW w:type="dxa" w:w="4703"/>
            <w:vAlign w:val="center"/>
          </w:tcPr>
          <w:p>
            <w:r>
              <w:rPr>
                <w:b w:val="0"/>
                <w:sz w:val="19"/>
              </w:rPr>
              <w:t>CV (Coefficient of Variation)</w:t>
            </w:r>
          </w:p>
        </w:tc>
        <w:tc>
          <w:tcPr>
            <w:tcW w:type="dxa" w:w="4703"/>
            <w:vAlign w:val="center"/>
          </w:tcPr>
          <w:p>
            <w:r>
              <w:rPr>
                <w:b w:val="0"/>
                <w:sz w:val="19"/>
              </w:rPr>
              <w:t>Standard deviation divided by Mean of monthly dispatch. High CV = erratic demand. Used to set the width of pessimistic/optimistic demand scenarios.</w:t>
            </w:r>
          </w:p>
        </w:tc>
      </w:tr>
      <w:tr>
        <w:tc>
          <w:tcPr>
            <w:tcW w:type="dxa" w:w="4703"/>
            <w:vAlign w:val="center"/>
          </w:tcPr>
          <w:p>
            <w:r>
              <w:rPr>
                <w:b w:val="0"/>
                <w:sz w:val="19"/>
              </w:rPr>
              <w:t>Write-Off</w:t>
            </w:r>
          </w:p>
        </w:tc>
        <w:tc>
          <w:tcPr>
            <w:tcW w:type="dxa" w:w="4703"/>
            <w:vAlign w:val="center"/>
          </w:tcPr>
          <w:p>
            <w:r>
              <w:rPr>
                <w:b w:val="0"/>
                <w:sz w:val="19"/>
              </w:rPr>
              <w:t>A batch whose full value is lost due to expiry and must be removed from inventory at zero recovery. Requires certified destruction documentation for regulatory compliance.</w:t>
            </w:r>
          </w:p>
        </w:tc>
      </w:tr>
    </w:tbl>
    <w:p/>
    <w:p>
      <w:pPr>
        <w:spacing w:after="80"/>
      </w:pPr>
      <w:r>
        <w:rPr>
          <w:color w:val="CCCCCC"/>
          <w:sz w:val="14"/>
        </w:rPr>
        <w:t>----------------------------------------------------------------------------------------------------</w:t>
      </w:r>
    </w:p>
    <w:p>
      <w:pPr>
        <w:jc w:val="center"/>
      </w:pPr>
      <w:r>
        <w:rPr>
          <w:color w:val="94A3B8"/>
          <w:sz w:val="18"/>
        </w:rPr>
        <w:t>PharmaTrace AI  |  ML Expiry Risk Classifier  |  ISB AMPBA Capstone  |  Sponsor: Innodatatics Inc.  |  Prepared for Presentation Review</w:t>
        <w:br/>
        <w:t>Auto-generated from the live PharmaTrace Streamlit dashboard codebase.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