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b/>
          <w:color w:val="0B2C5E"/>
          <w:sz w:val="48"/>
        </w:rPr>
        <w:t>PHARMATRACE AI — DEMAND &amp; SEASONALITY GUIDE</w:t>
      </w:r>
    </w:p>
    <w:p>
      <w:pPr>
        <w:spacing w:before="0" w:after="200"/>
      </w:pPr>
      <w:r>
        <w:rPr>
          <w:color w:val="0E7490"/>
          <w:sz w:val="24"/>
        </w:rPr>
        <w:t>A Plain English Executive &amp; Operational Guide to Strategic Engine 6: Tab-by-Tab Predictions, Clinical Classifications, Machine Learning Methodology, and Action Planning</w:t>
      </w:r>
    </w:p>
    <w:p>
      <w:pPr>
        <w:spacing w:before="0" w:after="320"/>
      </w:pPr>
      <w:r>
        <w:rPr>
          <w:color w:val="64748B"/>
          <w:sz w:val="19"/>
        </w:rPr>
        <w:t>Project: PharmaTrace AI — Capstone Architecture</w:t>
        <w:br/>
        <w:t>Engine: Strategic Engine 6 (Shipments-Driven Demand Prediction &amp; Seasonality)</w:t>
        <w:br/>
        <w:t>Target Audience: Supply Chain Executives, Warehouse Managers, and Evaluators</w:t>
        <w:br/>
        <w:t>Date of Record: September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0f9ff"/>
            <w:tcMar>
              <w:top w:w="130" w:type="dxa"/>
              <w:bottom w:w="130" w:type="dxa"/>
              <w:left w:w="180" w:type="dxa"/>
              <w:right w:w="150" w:type="dxa"/>
            </w:tcMar>
            <w:tcBorders>
              <w:top w:val="none"/>
              <w:left w:val="single" w:sz="36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F172A"/>
                <w:sz w:val="20"/>
              </w:rPr>
              <w:t>CORE PURPOSE OF THE DEMAND &amp; SEASONALITY ENGINE</w:t>
              <w:br/>
            </w:r>
            <w:r>
              <w:rPr>
                <w:color w:val="334155"/>
                <w:sz w:val="19"/>
              </w:rPr>
              <w:t>In pharmaceutical supply chains, stockouts lead to critical treatment disruptions for patients, while excess inventory leads to costly expiry write-offs. The Demand &amp; Seasonality Engine solves this problem by using actual historical shipment data and XGBoost Machine Learning to forecast demand across 1-Month, 3-Month, and 6-Month horizons, categorized by 4 real-world clinical behavior patterns.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b/>
          <w:color w:val="0B2C5E"/>
          <w:sz w:val="36"/>
        </w:rPr>
        <w:t>1. Executive Summary: What Problem Are We Solving?</w:t>
      </w:r>
    </w:p>
    <w:p>
      <w:pPr>
        <w:spacing w:after="120"/>
      </w:pPr>
      <w:r>
        <w:t>Traditional supply chain tools rely on simple historical moving averages or static reorder points. However, pharmaceutical medications behave very differently from ordinary retail goods:</w:t>
        <w:br/>
        <w:t>• Flu and respiratory medications spike drastically in the winter.</w:t>
        <w:br/>
        <w:t>• Diabetes and cardiovascular medications have flat, steady, year-round usage.</w:t>
        <w:br/>
        <w:t>• Controlled substances (like opioids or sedatives) are strictly capped by DEA regulations and quotas.</w:t>
        <w:br/>
        <w:t>• Oncology treatments are low-volume, extremely expensive, and require specialized cold-chain storage.</w:t>
        <w:br/>
        <w:br/>
        <w:t>Strategic Engine 6 bridges clinical reality and machine learning to give procurement and warehouse teams accurate unit forecasts, budget estimations, and specific purchase order deadlines.</w:t>
      </w:r>
    </w:p>
    <w:p>
      <w:pPr>
        <w:pStyle w:val="Heading1"/>
        <w:spacing w:before="280" w:after="120"/>
      </w:pPr>
      <w:r>
        <w:rPr>
          <w:b/>
          <w:color w:val="0B2C5E"/>
          <w:sz w:val="36"/>
        </w:rPr>
        <w:t>2. Tab-by-Tab Breakdown: What Does Each Tab Predict &amp; Say?</w:t>
      </w:r>
    </w:p>
    <w:p>
      <w:pPr>
        <w:pStyle w:val="Heading2"/>
        <w:spacing w:before="280" w:after="120"/>
      </w:pPr>
      <w:r>
        <w:rPr>
          <w:b/>
          <w:color w:val="0E7490"/>
          <w:sz w:val="27"/>
        </w:rPr>
        <w:t>Tab 1: 📊 Pattern Classification (Clinical Demand Behavior)</w:t>
      </w:r>
    </w:p>
    <w:p>
      <w:pPr>
        <w:spacing w:after="120"/>
      </w:pPr>
      <w:r>
        <w:t>What is this tab saying?</w:t>
        <w:br/>
        <w:t>This tab groups all medicines into 4 distinct clinical demand categories based on real shipment behavior and regulatory attributes—not arbitrary labels. It answers: 'What kind of demand pattern does each medicine have?'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0f172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Clinical Pattern</w:t>
            </w:r>
          </w:p>
        </w:tc>
        <w:tc>
          <w:tcPr>
            <w:tcW w:type="dxa" w:w="1296"/>
            <w:shd w:fill="0f172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Color Code</w:t>
            </w:r>
          </w:p>
        </w:tc>
        <w:tc>
          <w:tcPr>
            <w:tcW w:type="dxa" w:w="3168"/>
            <w:shd w:fill="0f172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Identification Rule</w:t>
            </w:r>
          </w:p>
        </w:tc>
        <w:tc>
          <w:tcPr>
            <w:tcW w:type="dxa" w:w="2736"/>
            <w:shd w:fill="0f172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Operational Meaning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CONTROLLED_SUBSTANCE_REGULATED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Red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Identified by DEA Schedule (II–V) in FDA metadata.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Legally restricted. Order quantities are capped by federal DEA quotas. Requires DEA Form 222.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SPECIALTY_ONCOLOGY_HIGH_VALUE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Purple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Unit price &gt;= $300 OR oncology pharm class + low monthly volume.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Very high financial risk. Low order volume, but high margin and requires strict cold-chain booking.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ACUTE_SEASONAL_WINTER_SURGE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Amber / Orange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Winter shipments (Nov–Feb) are &gt;= 35% higher than off-season months (CV &gt;= 0.20).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Respiratory and antiviral drugs. Demands massive pre-season inventory ramp-up before winter.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CHRONIC_MAINTENANCE_STEADY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Green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Default baseline. Stable year-round consumption (low CV).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Diabetes, blood pressure, and maintenance therapies. Perfect for automated rolling reorders.</w:t>
            </w:r>
          </w:p>
        </w:tc>
      </w:tr>
    </w:tbl>
    <w:p/>
    <w:p>
      <w:pPr>
        <w:spacing w:after="160"/>
      </w:pPr>
      <w:r>
        <w:t>Key Visuals in Tab 1:</w:t>
        <w:br/>
        <w:t>1. Summary KPI Cards: Show the percentage share of each pattern in the portfolio, total shipment rows, and average monthly units shipped.</w:t>
        <w:br/>
        <w:t>2. Seasonal Demand Profile (Month-by-Month Graph): Shows the Jan–Dec average unit trajectory for each pattern, clearly illustrating how winter surge products ramp up in November–February while chronic products remain completely flat.</w:t>
      </w:r>
    </w:p>
    <w:p>
      <w:pPr>
        <w:pStyle w:val="Heading2"/>
        <w:spacing w:before="280" w:after="120"/>
      </w:pPr>
      <w:r>
        <w:rPr>
          <w:b/>
          <w:color w:val="0E7490"/>
          <w:sz w:val="27"/>
        </w:rPr>
        <w:t>Tab 2: 🔮 1M / 3M / 6M Forecasts (Future Units &amp; Budget Needed)</w:t>
      </w:r>
    </w:p>
    <w:p>
      <w:pPr>
        <w:spacing w:after="120"/>
      </w:pPr>
      <w:r>
        <w:t>What is this tab predicting?</w:t>
        <w:br/>
        <w:t>This is the core predictive machine. It predicts the exact number of units and procurement expenditure ($) that will be needed for every single product across three distinct planning horizons:</w:t>
        <w:br/>
        <w:t>• 1-Month Ahead (1M): Immediate tactical replenishment for next month.</w:t>
        <w:br/>
        <w:t>• 3-Month Ahead (3M): Quarterly inventory and distributor allocation.</w:t>
        <w:br/>
        <w:t>• 6-Month Ahead (6M): Long-term supplier contract and raw material planning.</w:t>
        <w:br/>
        <w:br/>
        <w:t>Monotonic Cumulative Demand Logic:</w:t>
        <w:br/>
        <w:t>The system mathematically guarantees that a product's 3-month forecast is always greater than or equal to its 1-month forecast, and its 6-month forecast is always greater than or equal to its 3-month forecast. This prevents conflicting signals for procurement officers.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  <w:shd w:fill="0f172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Horizon</w:t>
            </w:r>
          </w:p>
        </w:tc>
        <w:tc>
          <w:tcPr>
            <w:tcW w:type="dxa" w:w="2592"/>
            <w:shd w:fill="0f172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Timeframe</w:t>
            </w:r>
          </w:p>
        </w:tc>
        <w:tc>
          <w:tcPr>
            <w:tcW w:type="dxa" w:w="5472"/>
            <w:shd w:fill="0f172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Supply Chain Decision Role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1M Forecast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Next 30 Days</w:t>
            </w:r>
          </w:p>
        </w:tc>
        <w:tc>
          <w:tcPr>
            <w:tcW w:type="dxa" w:w="54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Immediate warehouse dispatch, safety stock verification, local purchase orders.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3M Forecast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Next 90 Days</w:t>
            </w:r>
          </w:p>
        </w:tc>
        <w:tc>
          <w:tcPr>
            <w:tcW w:type="dxa" w:w="54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Quarterly distributor distribution, batch release schedules, working capital budget.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6M Forecast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Next 180 Days</w:t>
            </w:r>
          </w:p>
        </w:tc>
        <w:tc>
          <w:tcPr>
            <w:tcW w:type="dxa" w:w="54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Active Pharmaceutical Ingredient (API) procurement, contract manufacturer (CMO) booking.</w:t>
            </w:r>
          </w:p>
        </w:tc>
      </w:tr>
    </w:tbl>
    <w:p/>
    <w:p>
      <w:pPr>
        <w:spacing w:after="160"/>
      </w:pPr>
      <w:r>
        <w:t>Key Features in Tab 2:</w:t>
        <w:br/>
        <w:t>1. Forecast KPI Banner: Displays total units forecasted and estimated procurement expenditure in USD.</w:t>
        <w:br/>
        <w:t>2. Clinical Category Breakdown Table: Summarizes how many products, units, and what % of the financial budget each category represents.</w:t>
        <w:br/>
        <w:t>3. Top 15 Products Bar Chart: Instantly highlights the 15 highest-volume medicines demanding attention.</w:t>
        <w:br/>
        <w:t>4. Searchable Product Table: Allows searching any medication by generic name or product ID to view its forecasted units, price, and region.</w:t>
        <w:br/>
        <w:t>5. Excel Download Button: Exports an executive Excel workbook with separate tabs for 1M, 3M, and 6M forecasts ready for ERP import.</w:t>
      </w:r>
    </w:p>
    <w:p>
      <w:pPr>
        <w:pStyle w:val="Heading2"/>
        <w:spacing w:before="280" w:after="120"/>
      </w:pPr>
      <w:r>
        <w:rPr>
          <w:b/>
          <w:color w:val="0E7490"/>
          <w:sz w:val="27"/>
        </w:rPr>
        <w:t>Tab 3: 🏭 Warehouse &amp; Distributor Demand (Where &amp; How It Moves)</w:t>
      </w:r>
    </w:p>
    <w:p>
      <w:pPr>
        <w:spacing w:after="120"/>
      </w:pPr>
      <w:r>
        <w:t>What is this tab saying?</w:t>
        <w:br/>
        <w:t>Predicting total national demand is not enough; inventory must be placed in the right locations to avoid stockouts. Tab 3 provides geographic and channel intelligence by analyzing who orders the most and from where.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0f172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68"/>
            <w:shd w:fill="0f172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What It Analyzes</w:t>
            </w:r>
          </w:p>
        </w:tc>
        <w:tc>
          <w:tcPr>
            <w:tcW w:type="dxa" w:w="4032"/>
            <w:shd w:fill="0f172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Business Insight Provided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Warehouse Ranking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Total units, capacity utilization %, delay rate % per warehouse.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Identifies high-traffic central hubs vs regional spoke facilities.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Monthly Trend Chart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Monthly shipment volume over time for each warehouse.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Visualizes volume trends; includes interactive filter to isolate specific warehouses.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Demand by Region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Volume and shipment delay percentage across geographic regions.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Highlights high-demand territories and regional bottleneck vulnerabilities.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Top Distributor Count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Number of unique distributors handling each product.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Identifies single-distributor risks vs widely distributed commercial products.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Delay Rate by Type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Average shipment delay rate by warehouse type (Central vs Cold-Chain).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Highlights operational bottlenecks that exceed the critical 5% delay threshold.</w:t>
            </w:r>
          </w:p>
        </w:tc>
      </w:tr>
    </w:tbl>
    <w:p/>
    <w:p>
      <w:pPr>
        <w:pStyle w:val="Heading2"/>
        <w:spacing w:before="280" w:after="120"/>
      </w:pPr>
      <w:r>
        <w:rPr>
          <w:b/>
          <w:color w:val="0E7490"/>
          <w:sz w:val="27"/>
        </w:rPr>
        <w:t>Tab 4: 🔬 Model Performance &amp; Features (Why You Can Trust the AI)</w:t>
      </w:r>
    </w:p>
    <w:p>
      <w:pPr>
        <w:spacing w:after="120"/>
      </w:pPr>
      <w:r>
        <w:t>What is this tab saying?</w:t>
        <w:br/>
        <w:t>Machine Learning must be transparent, explainable, and validated to be accepted by pharmaceutical auditors and regulators. Tab 4 demonstrates how accurate the model is and exactly which factors drive its forecasts.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0f9ff"/>
            <w:tcMar>
              <w:top w:w="130" w:type="dxa"/>
              <w:bottom w:w="130" w:type="dxa"/>
              <w:left w:w="180" w:type="dxa"/>
              <w:right w:w="150" w:type="dxa"/>
            </w:tcMar>
            <w:tcBorders>
              <w:top w:val="none"/>
              <w:left w:val="single" w:sz="36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F172A"/>
                <w:sz w:val="20"/>
              </w:rPr>
              <w:t>THE 80 / 20 CHRONOLOGICAL TRAIN / TEST SPLIT</w:t>
              <w:br/>
            </w:r>
            <w:r>
              <w:rPr>
                <w:color w:val="334155"/>
                <w:sz w:val="19"/>
              </w:rPr>
              <w:t>The model is trained on the oldest 80% of historical shipment months and strictly evaluated on the most recent 20% of months (the held-out test set). We NEVER use random splitting, because random splitting causes 'data leakage' (the model would cheat by looking at future data). Evaluating on the most recent 20% proves the AI can forecast future months it has never seen.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16"/>
            <w:shd w:fill="0f172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68"/>
            <w:shd w:fill="0f172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Formula / Definition</w:t>
            </w:r>
          </w:p>
        </w:tc>
        <w:tc>
          <w:tcPr>
            <w:tcW w:type="dxa" w:w="4608"/>
            <w:shd w:fill="0f172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What It Means in Plain English</w:t>
            </w:r>
          </w:p>
        </w:tc>
      </w:tr>
      <w:tr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MAPE (%)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Mean Absolute Percentage Error</w:t>
            </w:r>
          </w:p>
        </w:tc>
        <w:tc>
          <w:tcPr>
            <w:tcW w:type="dxa" w:w="460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The average percentage difference between the AI's prediction and actual demand. Lower is better.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RMSE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Root Mean Squared Error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Measures prediction error in actual physical units, heavily penalizing large unexpected misses.</w:t>
            </w:r>
          </w:p>
        </w:tc>
      </w:tr>
      <w:tr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R² Score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Coefficient of Determination</w:t>
            </w:r>
          </w:p>
        </w:tc>
        <w:tc>
          <w:tcPr>
            <w:tcW w:type="dxa" w:w="460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Measures how much of the variation in demand is successfully explained by the model (1.0 = perfect score).</w:t>
            </w:r>
          </w:p>
        </w:tc>
      </w:tr>
    </w:tbl>
    <w:p/>
    <w:p>
      <w:pPr>
        <w:spacing w:after="160"/>
      </w:pPr>
      <w:r>
        <w:t>Explainable AI (Feature Importance):</w:t>
        <w:br/>
        <w:t>The horizontal bar chart reveals the top drivers of pharmaceutical demand:</w:t>
        <w:br/>
        <w:t>1. Recent History (lag_1m, rolling_mean_3m): What was ordered last month and the last 3 months is the strongest predictor.</w:t>
        <w:br/>
        <w:t>2. Seasonal Indicators (is_winter, seasonal_index): Crucial for detecting surge patterns in flu and respiratory lines.</w:t>
        <w:br/>
        <w:t>3. Product Attributes (unit_price, clinical_demand_pattern): Determines procurement urgency and financial magnitude.</w:t>
      </w:r>
    </w:p>
    <w:p>
      <w:pPr>
        <w:pStyle w:val="Heading2"/>
        <w:spacing w:before="280" w:after="120"/>
      </w:pPr>
      <w:r>
        <w:rPr>
          <w:b/>
          <w:color w:val="0E7490"/>
          <w:sz w:val="27"/>
        </w:rPr>
        <w:t>Tab 5: 📋 Procurement Action Plan (What Managers Must Do Today)</w:t>
      </w:r>
    </w:p>
    <w:p>
      <w:pPr>
        <w:spacing w:after="120"/>
      </w:pPr>
      <w:r>
        <w:t>What is this tab saying?</w:t>
        <w:br/>
        <w:t>Forecast numbers are useless without concrete operational execution. Tab 5 translates the AI forecasts into executable purchase orders, inventory buffers, and strict lead-time deadlines.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440"/>
            <w:shd w:fill="0f172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Horizon</w:t>
            </w:r>
          </w:p>
        </w:tc>
        <w:tc>
          <w:tcPr>
            <w:tcW w:type="dxa" w:w="1872"/>
            <w:shd w:fill="0f172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Base Forecast</w:t>
            </w:r>
          </w:p>
        </w:tc>
        <w:tc>
          <w:tcPr>
            <w:tcW w:type="dxa" w:w="2160"/>
            <w:shd w:fill="0f172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+18% Safety Buffer</w:t>
            </w:r>
          </w:p>
        </w:tc>
        <w:tc>
          <w:tcPr>
            <w:tcW w:type="dxa" w:w="2160"/>
            <w:shd w:fill="0f172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PO Deadline</w:t>
            </w:r>
          </w:p>
        </w:tc>
        <w:tc>
          <w:tcPr>
            <w:tcW w:type="dxa" w:w="2160"/>
            <w:shd w:fill="0f172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Urgency Status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1M (Next Month)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Raw AI Units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Base + 18% buffer to prevent stockouts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60 days prior to delivery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🚨 IMMEDIATE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3M (Quarter)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Raw AI Units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Base + 18% buffer to absorb demand swings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60 days prior to quarter start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⚠️ PLAN NOW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6M (Half-Year)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Raw AI Units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Base + 18% buffer for raw material commitments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60 days prior to semester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🟢 SCHEDULED</w:t>
            </w:r>
          </w:p>
        </w:tc>
      </w:tr>
    </w:tbl>
    <w:p/>
    <w:p>
      <w:pPr>
        <w:spacing w:after="160"/>
      </w:pPr>
      <w:r>
        <w:t>Clinical Lead-Time Playbook:</w:t>
        <w:br/>
        <w:t>• Winter Surge Medications: 75-day lead time. PO deadline is August 31 to build safety stock before winter flu season.</w:t>
        <w:br/>
        <w:t>• Chronic Maintenance Medications: 45-day lead time. Continuous rolling automated min-max reordering.</w:t>
        <w:br/>
        <w:t>• Controlled Substances: 60-day lead time. Mandates advance DEA Form 222 quota compliance before purchase.</w:t>
        <w:br/>
        <w:t>• Specialty Oncology: 90-day lead time. Requires pre-booking cold-chain storage and direct manufacturer engagement.</w:t>
      </w:r>
    </w:p>
    <w:p>
      <w:pPr>
        <w:pStyle w:val="Heading1"/>
        <w:spacing w:before="280" w:after="120"/>
      </w:pPr>
      <w:r>
        <w:rPr>
          <w:b/>
          <w:color w:val="0B2C5E"/>
          <w:sz w:val="36"/>
        </w:rPr>
        <w:t>3. Quick Reference Summary Cheat-Sheet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0f172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Dashboard Tab</w:t>
            </w:r>
          </w:p>
        </w:tc>
        <w:tc>
          <w:tcPr>
            <w:tcW w:type="dxa" w:w="4608"/>
            <w:shd w:fill="0f172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Simple Question It Answers</w:t>
            </w:r>
          </w:p>
        </w:tc>
        <w:tc>
          <w:tcPr>
            <w:tcW w:type="dxa" w:w="2592"/>
            <w:shd w:fill="0f172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Who Uses It?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Tab 1: Pattern Classification</w:t>
            </w:r>
          </w:p>
        </w:tc>
        <w:tc>
          <w:tcPr>
            <w:tcW w:type="dxa" w:w="460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'What kind of medicine is this and how does it behave?'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Clinical Directors &amp; Inventory Planners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Tab 2: 1M/3M/6M Forecasts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'How many units and how much money do we need over the next 1, 3, and 6 months?'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Procurement Officers &amp; Finance Teams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Tab 3: Warehouse &amp; Distributor</w:t>
            </w:r>
          </w:p>
        </w:tc>
        <w:tc>
          <w:tcPr>
            <w:tcW w:type="dxa" w:w="460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'Which warehouses handle this volume and where are the delivery delay bottlenecks?'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Logistics &amp; Warehouse Operations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Tab 4: Model Performance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'How accurate is the AI model and why should we trust its predictions?'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Data Scientists, Auditors &amp; Compliance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Tab 5: Procurement Action Plan</w:t>
            </w:r>
          </w:p>
        </w:tc>
        <w:tc>
          <w:tcPr>
            <w:tcW w:type="dxa" w:w="460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'What purchase orders must be released today, with safety buffers and deadlines?'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Supply Chain Directors &amp; Buyers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0fdf4"/>
            <w:tcMar>
              <w:top w:w="130" w:type="dxa"/>
              <w:bottom w:w="130" w:type="dxa"/>
              <w:left w:w="180" w:type="dxa"/>
              <w:right w:w="150" w:type="dxa"/>
            </w:tcMar>
            <w:tcBorders>
              <w:top w:val="none"/>
              <w:left w:val="single" w:sz="36" w:space="0" w:color="10b981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F172A"/>
                <w:sz w:val="20"/>
              </w:rPr>
              <w:t>PRODUCTION DEPLOYMENT NOTE</w:t>
              <w:br/>
            </w:r>
            <w:r>
              <w:rPr>
                <w:color w:val="334155"/>
                <w:sz w:val="19"/>
              </w:rPr>
              <w:t>When an Excel file is uploaded in the Streamlit application, the system automatically detects shipments, builds the monthly panel, classifies clinical patterns, trains the XGBoost model in real-time, and refreshes all five tabs within 8–15 seconds.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