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80"/>
      </w:pPr>
      <w:r>
        <w:rPr>
          <w:b/>
          <w:color w:val="0B2C5E"/>
          <w:sz w:val="56"/>
        </w:rPr>
        <w:t>PHARMATRACE AI</w:t>
      </w:r>
    </w:p>
    <w:p>
      <w:pPr>
        <w:spacing w:before="0" w:after="280"/>
      </w:pPr>
      <w:r>
        <w:rPr>
          <w:color w:val="0E7490"/>
          <w:sz w:val="26"/>
        </w:rPr>
        <w:t>End-to-End Enterprise Architecture, Predictive Machine Learning, Linear Programming Optimization, Decision Tree Logic, and Clinical Regulatory Governance Specification</w:t>
      </w:r>
    </w:p>
    <w:p>
      <w:pPr>
        <w:spacing w:before="0" w:after="400"/>
      </w:pPr>
      <w:r>
        <w:rPr>
          <w:color w:val="64748B"/>
          <w:sz w:val="19"/>
        </w:rPr>
        <w:t>Academic Institution: Indian School of Business (ISB) — AMPBA Capstone Module 3</w:t>
        <w:br/>
        <w:t>Corporate Sponsor: Innodatatics Inc. | Compliance Framework: US FDA 21 CFR §211 &amp; CDSCO Schedule M</w:t>
        <w:br/>
        <w:t>Production Status: Deployed on Streamlit Cloud &amp; Docker Container Architecture</w:t>
        <w:br/>
        <w:t>Author &amp; Lead Engineer: Siddharth Kolli | Date of Record: September 2026</w:t>
      </w:r>
    </w:p>
    <w:tbl>
      <w:tblPr>
        <w:tblW w:type="auto" w:w="0"/>
        <w:jc w:val="center"/>
        <w:tblLayout w:type="fixed"/>
        <w:tblLook w:firstColumn="1" w:firstRow="1" w:lastColumn="0" w:lastRow="0" w:noHBand="0" w:noVBand="1" w:val="04A0"/>
      </w:tblPr>
      <w:tblGrid>
        <w:gridCol w:w="9360"/>
      </w:tblGrid>
      <w:tr>
        <w:tc>
          <w:tcPr>
            <w:tcW w:type="dxa" w:w="9936"/>
            <w:shd w:fill="f0f9ff"/>
            <w:tcMar>
              <w:top w:w="140" w:type="dxa"/>
              <w:bottom w:w="140" w:type="dxa"/>
              <w:left w:w="200" w:type="dxa"/>
              <w:right w:w="160" w:type="dxa"/>
            </w:tcMar>
            <w:tcBorders>
              <w:top w:val="none"/>
              <w:left w:val="single" w:sz="36" w:space="0" w:color="0284c7"/>
              <w:bottom w:val="none"/>
              <w:right w:val="none"/>
            </w:tcBorders>
          </w:tcPr>
          <w:p>
            <w:pPr>
              <w:spacing w:before="40" w:after="40"/>
            </w:pPr>
            <w:r>
              <w:rPr>
                <w:b/>
                <w:color w:val="0F172A"/>
                <w:sz w:val="19"/>
              </w:rPr>
              <w:t>EXECUTIVE SUMMARY &amp; OPERATIONAL MANDATE</w:t>
              <w:br/>
            </w:r>
            <w:r>
              <w:rPr>
                <w:color w:val="334155"/>
                <w:sz w:val="18"/>
              </w:rPr>
              <w:t>PharmaTrace AI resolves the systemic pharmaceutical industry challenge of batch expiration write-offs and cold-chain compliance failures. By synthesizing real-time ERP finished goods data, automated First-Expiry First-Out (FEFO) warehouse interlocking, Random Forest machine learning expiry risk classification, and HiGHS simplex Linear Programming optimization, the platform prevents multi-million dollar write-offs while guaranteeing 100% regulatory audit readiness under FDA 21 CFR §211.160 and USP &lt;659&gt; cold-chain standards.</w:t>
            </w:r>
          </w:p>
        </w:tc>
      </w:tr>
    </w:tbl>
    <w:p>
      <w:pPr>
        <w:spacing w:after="80"/>
      </w:pPr>
    </w:p>
    <w:p>
      <w:r>
        <w:br w:type="page"/>
      </w:r>
    </w:p>
    <w:p>
      <w:pPr>
        <w:pStyle w:val="Heading1"/>
        <w:spacing w:before="280" w:after="120"/>
      </w:pPr>
      <w:r>
        <w:rPr>
          <w:b/>
          <w:color w:val="0B2C5E"/>
          <w:sz w:val="36"/>
        </w:rPr>
        <w:t>1. Architecture Plan &amp; System Design</w:t>
      </w:r>
    </w:p>
    <w:p>
      <w:pPr>
        <w:spacing w:after="160"/>
      </w:pPr>
      <w:r>
        <w:t>The PharmaTrace AI architecture follows an enterprise-grade 4-tier modular topology designed for extreme data integrity, high-throughput simulation, and strict regulatory compliance. Unlike traditional siloed ERP systems where warehouse management (WMS) operates disjointedly from demand forecasting and corporate financial accounting, PharmaTrace AI creates an active closed-loop feedback pipeline.</w:t>
      </w:r>
    </w:p>
    <w:p>
      <w:r>
        <w:drawing>
          <wp:inline xmlns:a="http://schemas.openxmlformats.org/drawingml/2006/main" xmlns:pic="http://schemas.openxmlformats.org/drawingml/2006/picture">
            <wp:extent cx="5943600" cy="3346704"/>
            <wp:docPr id="1" name="Picture 1"/>
            <wp:cNvGraphicFramePr>
              <a:graphicFrameLocks noChangeAspect="1"/>
            </wp:cNvGraphicFramePr>
            <a:graphic>
              <a:graphicData uri="http://schemas.openxmlformats.org/drawingml/2006/picture">
                <pic:pic>
                  <pic:nvPicPr>
                    <pic:cNvPr id="0" name="diag1_system_architecture.png"/>
                    <pic:cNvPicPr/>
                  </pic:nvPicPr>
                  <pic:blipFill>
                    <a:blip r:embed="rId9"/>
                    <a:stretch>
                      <a:fillRect/>
                    </a:stretch>
                  </pic:blipFill>
                  <pic:spPr>
                    <a:xfrm>
                      <a:off x="0" y="0"/>
                      <a:ext cx="5943600" cy="3346704"/>
                    </a:xfrm>
                    <a:prstGeom prst="rect"/>
                  </pic:spPr>
                </pic:pic>
              </a:graphicData>
            </a:graphic>
          </wp:inline>
        </w:drawing>
      </w:r>
    </w:p>
    <w:p>
      <w:pPr>
        <w:spacing w:before="80" w:after="240"/>
      </w:pPr>
      <w:r>
        <w:rPr>
          <w:i/>
          <w:color w:val="64748B"/>
          <w:sz w:val="17"/>
        </w:rPr>
        <w:t>Figure 1.1: PharmaTrace AI End-to-End Multitier Enterprise Architecture Plan.</w:t>
      </w:r>
    </w:p>
    <w:p>
      <w:pPr>
        <w:pStyle w:val="Heading2"/>
        <w:spacing w:before="280" w:after="120"/>
      </w:pPr>
      <w:r>
        <w:rPr>
          <w:b/>
          <w:color w:val="0E7490"/>
          <w:sz w:val="28"/>
        </w:rPr>
        <w:t>Core Architectural Layers &amp; Responsibilities</w:t>
      </w:r>
    </w:p>
    <w:tbl>
      <w:tblPr>
        <w:tblW w:type="auto" w:w="0"/>
        <w:jc w:val="center"/>
        <w:tblLayout w:type="fixed"/>
        <w:tblLook w:firstColumn="1" w:firstRow="1" w:lastColumn="0" w:lastRow="0" w:noHBand="0" w:noVBand="1" w:val="04A0"/>
        <w:tblBorders>
          <w:top w:val="single" w:sz="6" w:space="0" w:color="cbd5e1"/>
          <w:bottom w:val="single" w:sz="8" w:space="0" w:color="94a3b8"/>
          <w:left w:val="none"/>
          <w:right w:val="none"/>
          <w:insideH w:val="single" w:sz="4" w:space="0" w:color="e2e8f0"/>
          <w:insideV w:val="none"/>
        </w:tblBorders>
      </w:tblPr>
      <w:tblGrid>
        <w:gridCol w:w="3312"/>
        <w:gridCol w:w="3312"/>
        <w:gridCol w:w="3312"/>
      </w:tblGrid>
      <w:tr>
        <w:tc>
          <w:tcPr>
            <w:tcW w:type="dxa" w:w="2592"/>
            <w:shd w:fill="0f172a"/>
            <w:tcMar>
              <w:top w:w="120" w:type="dxa"/>
              <w:bottom w:w="120" w:type="dxa"/>
              <w:left w:w="140" w:type="dxa"/>
              <w:right w:w="140" w:type="dxa"/>
            </w:tcMar>
          </w:tcPr>
          <w:p>
            <w:pPr>
              <w:spacing w:before="40" w:after="40"/>
            </w:pPr>
            <w:r>
              <w:rPr>
                <w:b/>
                <w:color w:val="FFFFFF"/>
                <w:sz w:val="18"/>
              </w:rPr>
              <w:t>System Tier</w:t>
            </w:r>
          </w:p>
        </w:tc>
        <w:tc>
          <w:tcPr>
            <w:tcW w:type="dxa" w:w="2592"/>
            <w:shd w:fill="0f172a"/>
            <w:tcMar>
              <w:top w:w="120" w:type="dxa"/>
              <w:bottom w:w="120" w:type="dxa"/>
              <w:left w:w="140" w:type="dxa"/>
              <w:right w:w="140" w:type="dxa"/>
            </w:tcMar>
          </w:tcPr>
          <w:p>
            <w:pPr>
              <w:spacing w:before="40" w:after="40"/>
            </w:pPr>
            <w:r>
              <w:rPr>
                <w:b/>
                <w:color w:val="FFFFFF"/>
                <w:sz w:val="18"/>
              </w:rPr>
              <w:t>Primary Technology</w:t>
            </w:r>
          </w:p>
        </w:tc>
        <w:tc>
          <w:tcPr>
            <w:tcW w:type="dxa" w:w="4176"/>
            <w:shd w:fill="0f172a"/>
            <w:tcMar>
              <w:top w:w="120" w:type="dxa"/>
              <w:bottom w:w="120" w:type="dxa"/>
              <w:left w:w="140" w:type="dxa"/>
              <w:right w:w="140" w:type="dxa"/>
            </w:tcMar>
          </w:tcPr>
          <w:p>
            <w:pPr>
              <w:spacing w:before="40" w:after="40"/>
            </w:pPr>
            <w:r>
              <w:rPr>
                <w:b/>
                <w:color w:val="FFFFFF"/>
                <w:sz w:val="18"/>
              </w:rPr>
              <w:t>Operational Scope &amp; Responsibilities</w:t>
            </w:r>
          </w:p>
        </w:tc>
      </w:tr>
      <w:tr>
        <w:tc>
          <w:tcPr>
            <w:tcW w:type="dxa" w:w="2592"/>
            <w:shd w:fill="ffffff"/>
            <w:tcMar>
              <w:top w:w="80" w:type="dxa"/>
              <w:bottom w:w="80" w:type="dxa"/>
              <w:left w:w="120" w:type="dxa"/>
              <w:right w:w="120" w:type="dxa"/>
            </w:tcMar>
          </w:tcPr>
          <w:p>
            <w:pPr>
              <w:spacing w:before="40" w:after="40"/>
            </w:pPr>
            <w:r>
              <w:rPr>
                <w:color w:val="1E293B"/>
                <w:sz w:val="17"/>
              </w:rPr>
              <w:t>Layer 1: Data Ingestion &amp; Schema Integrity</w:t>
            </w:r>
          </w:p>
        </w:tc>
        <w:tc>
          <w:tcPr>
            <w:tcW w:type="dxa" w:w="2592"/>
            <w:shd w:fill="ffffff"/>
            <w:tcMar>
              <w:top w:w="80" w:type="dxa"/>
              <w:bottom w:w="80" w:type="dxa"/>
              <w:left w:w="120" w:type="dxa"/>
              <w:right w:w="120" w:type="dxa"/>
            </w:tcMar>
          </w:tcPr>
          <w:p>
            <w:pPr>
              <w:spacing w:before="40" w:after="40"/>
            </w:pPr>
            <w:r>
              <w:rPr>
                <w:color w:val="1E293B"/>
                <w:sz w:val="17"/>
              </w:rPr>
              <w:t>High-Volume Multi-Sheet Excel / Relational DB</w:t>
            </w:r>
          </w:p>
        </w:tc>
        <w:tc>
          <w:tcPr>
            <w:tcW w:type="dxa" w:w="4176"/>
            <w:shd w:fill="ffffff"/>
            <w:tcMar>
              <w:top w:w="80" w:type="dxa"/>
              <w:bottom w:w="80" w:type="dxa"/>
              <w:left w:w="120" w:type="dxa"/>
              <w:right w:w="120" w:type="dxa"/>
            </w:tcMar>
          </w:tcPr>
          <w:p>
            <w:pPr>
              <w:spacing w:before="40" w:after="40"/>
            </w:pPr>
            <w:r>
              <w:rPr>
                <w:color w:val="1E293B"/>
                <w:sz w:val="17"/>
              </w:rPr>
              <w:t>Ingests 9 relational operational sheets: products, warehouses, inventory, finished_product_batches, monthly_demand, economic_parameters, freight_matrix, fefo_compliance_log, and iot_telemetry.</w:t>
            </w:r>
          </w:p>
        </w:tc>
      </w:tr>
      <w:tr>
        <w:tc>
          <w:tcPr>
            <w:tcW w:type="dxa" w:w="2592"/>
            <w:shd w:fill="f8fafc"/>
            <w:tcMar>
              <w:top w:w="80" w:type="dxa"/>
              <w:bottom w:w="80" w:type="dxa"/>
              <w:left w:w="120" w:type="dxa"/>
              <w:right w:w="120" w:type="dxa"/>
            </w:tcMar>
          </w:tcPr>
          <w:p>
            <w:pPr>
              <w:spacing w:before="40" w:after="40"/>
            </w:pPr>
            <w:r>
              <w:rPr>
                <w:color w:val="1E293B"/>
                <w:sz w:val="17"/>
              </w:rPr>
              <w:t>Layer 2: Validation &amp; Governance Engine</w:t>
            </w:r>
          </w:p>
        </w:tc>
        <w:tc>
          <w:tcPr>
            <w:tcW w:type="dxa" w:w="2592"/>
            <w:shd w:fill="f8fafc"/>
            <w:tcMar>
              <w:top w:w="80" w:type="dxa"/>
              <w:bottom w:w="80" w:type="dxa"/>
              <w:left w:w="120" w:type="dxa"/>
              <w:right w:w="120" w:type="dxa"/>
            </w:tcMar>
          </w:tcPr>
          <w:p>
            <w:pPr>
              <w:spacing w:before="40" w:after="40"/>
            </w:pPr>
            <w:r>
              <w:rPr>
                <w:color w:val="1E293B"/>
                <w:sz w:val="17"/>
              </w:rPr>
              <w:t>Poka-Yoke In-Control Gatekeeper</w:t>
            </w:r>
          </w:p>
        </w:tc>
        <w:tc>
          <w:tcPr>
            <w:tcW w:type="dxa" w:w="4176"/>
            <w:shd w:fill="f8fafc"/>
            <w:tcMar>
              <w:top w:w="80" w:type="dxa"/>
              <w:bottom w:w="80" w:type="dxa"/>
              <w:left w:w="120" w:type="dxa"/>
              <w:right w:w="120" w:type="dxa"/>
            </w:tcMar>
          </w:tcPr>
          <w:p>
            <w:pPr>
              <w:spacing w:before="40" w:after="40"/>
            </w:pPr>
            <w:r>
              <w:rPr>
                <w:color w:val="1E293B"/>
                <w:sz w:val="17"/>
              </w:rPr>
              <w:t>Enforces strict validation, cross-referencing warehouse IDs, foreign keys, GS1-128 batch identifiers, and cold-chain temperature thresholds before allowing system execution.</w:t>
            </w:r>
          </w:p>
        </w:tc>
      </w:tr>
      <w:tr>
        <w:tc>
          <w:tcPr>
            <w:tcW w:type="dxa" w:w="2592"/>
            <w:shd w:fill="ffffff"/>
            <w:tcMar>
              <w:top w:w="80" w:type="dxa"/>
              <w:bottom w:w="80" w:type="dxa"/>
              <w:left w:w="120" w:type="dxa"/>
              <w:right w:w="120" w:type="dxa"/>
            </w:tcMar>
          </w:tcPr>
          <w:p>
            <w:pPr>
              <w:spacing w:before="40" w:after="40"/>
            </w:pPr>
            <w:r>
              <w:rPr>
                <w:color w:val="1E293B"/>
                <w:sz w:val="17"/>
              </w:rPr>
              <w:t>Layer 3: Analytical, AI &amp; Solver Tier</w:t>
            </w:r>
          </w:p>
        </w:tc>
        <w:tc>
          <w:tcPr>
            <w:tcW w:type="dxa" w:w="2592"/>
            <w:shd w:fill="ffffff"/>
            <w:tcMar>
              <w:top w:w="80" w:type="dxa"/>
              <w:bottom w:w="80" w:type="dxa"/>
              <w:left w:w="120" w:type="dxa"/>
              <w:right w:w="120" w:type="dxa"/>
            </w:tcMar>
          </w:tcPr>
          <w:p>
            <w:pPr>
              <w:spacing w:before="40" w:after="40"/>
            </w:pPr>
            <w:r>
              <w:rPr>
                <w:color w:val="1E293B"/>
                <w:sz w:val="17"/>
              </w:rPr>
              <w:t>Scikit-Learn ML &amp; SciPy Linear Programming</w:t>
            </w:r>
          </w:p>
        </w:tc>
        <w:tc>
          <w:tcPr>
            <w:tcW w:type="dxa" w:w="4176"/>
            <w:shd w:fill="ffffff"/>
            <w:tcMar>
              <w:top w:w="80" w:type="dxa"/>
              <w:bottom w:w="80" w:type="dxa"/>
              <w:left w:w="120" w:type="dxa"/>
              <w:right w:w="120" w:type="dxa"/>
            </w:tcMar>
          </w:tcPr>
          <w:p>
            <w:pPr>
              <w:spacing w:before="40" w:after="40"/>
            </w:pPr>
            <w:r>
              <w:rPr>
                <w:color w:val="1E293B"/>
                <w:sz w:val="17"/>
              </w:rPr>
              <w:t>Houses the Random Forest Expiry Risk Classifier, MLflow experiment tracking registry, 24-month Holt-Winters demand forecasting, and the HiGHS dual-simplex cost optimizer.</w:t>
            </w:r>
          </w:p>
        </w:tc>
      </w:tr>
      <w:tr>
        <w:tc>
          <w:tcPr>
            <w:tcW w:type="dxa" w:w="2592"/>
            <w:shd w:fill="f8fafc"/>
            <w:tcMar>
              <w:top w:w="80" w:type="dxa"/>
              <w:bottom w:w="80" w:type="dxa"/>
              <w:left w:w="120" w:type="dxa"/>
              <w:right w:w="120" w:type="dxa"/>
            </w:tcMar>
          </w:tcPr>
          <w:p>
            <w:pPr>
              <w:spacing w:before="40" w:after="40"/>
            </w:pPr>
            <w:r>
              <w:rPr>
                <w:color w:val="1E293B"/>
                <w:sz w:val="17"/>
              </w:rPr>
              <w:t>Layer 4: Executive Decision UI &amp; Control Tower</w:t>
            </w:r>
          </w:p>
        </w:tc>
        <w:tc>
          <w:tcPr>
            <w:tcW w:type="dxa" w:w="2592"/>
            <w:shd w:fill="f8fafc"/>
            <w:tcMar>
              <w:top w:w="80" w:type="dxa"/>
              <w:bottom w:w="80" w:type="dxa"/>
              <w:left w:w="120" w:type="dxa"/>
              <w:right w:w="120" w:type="dxa"/>
            </w:tcMar>
          </w:tcPr>
          <w:p>
            <w:pPr>
              <w:spacing w:before="40" w:after="40"/>
            </w:pPr>
            <w:r>
              <w:rPr>
                <w:color w:val="1E293B"/>
                <w:sz w:val="17"/>
              </w:rPr>
              <w:t>Streamlit Production Web App &amp; REST APIs</w:t>
            </w:r>
          </w:p>
        </w:tc>
        <w:tc>
          <w:tcPr>
            <w:tcW w:type="dxa" w:w="4176"/>
            <w:shd w:fill="f8fafc"/>
            <w:tcMar>
              <w:top w:w="80" w:type="dxa"/>
              <w:bottom w:w="80" w:type="dxa"/>
              <w:left w:w="120" w:type="dxa"/>
              <w:right w:w="120" w:type="dxa"/>
            </w:tcMar>
          </w:tcPr>
          <w:p>
            <w:pPr>
              <w:spacing w:before="40" w:after="40"/>
            </w:pPr>
            <w:r>
              <w:rPr>
                <w:color w:val="1E293B"/>
                <w:sz w:val="17"/>
              </w:rPr>
              <w:t>Provides role-based dashboards: Executive Scorecard, FEFO Scanner Interlock, Strategy Channel Cockpit (Transfers, Liquidations, PO Trims), and Mandatory QA Destruction Manifest.</w:t>
            </w:r>
          </w:p>
        </w:tc>
      </w:tr>
    </w:tbl>
    <w:p>
      <w:pPr>
        <w:pStyle w:val="Heading1"/>
        <w:spacing w:before="280" w:after="120"/>
      </w:pPr>
      <w:r>
        <w:rPr>
          <w:b/>
          <w:color w:val="0B2C5E"/>
          <w:sz w:val="36"/>
        </w:rPr>
        <w:t>2. Regulatory FEFO &amp; Days-to-Expiry (DTE) Workflow</w:t>
      </w:r>
    </w:p>
    <w:p>
      <w:pPr>
        <w:spacing w:after="160"/>
      </w:pPr>
      <w:r>
        <w:t>In pharmaceutical distribution, inventory management is governed by strict statutory rules (FDA 21 CFR §211.150 / CDSCO Schedule M). Inventory must move strictly in order of earliest expiration date (First-Expiry, First-Out). PharmaTrace AI implements physical Poka-Yoke (error-proofing) software locks at the warehouse loading bay, segmenting shelf-life into 4 distinct chronological operational horizons.</w:t>
      </w:r>
    </w:p>
    <w:p>
      <w:r>
        <w:drawing>
          <wp:inline xmlns:a="http://schemas.openxmlformats.org/drawingml/2006/main" xmlns:pic="http://schemas.openxmlformats.org/drawingml/2006/picture">
            <wp:extent cx="5943600" cy="3058765"/>
            <wp:docPr id="2" name="Picture 2"/>
            <wp:cNvGraphicFramePr>
              <a:graphicFrameLocks noChangeAspect="1"/>
            </wp:cNvGraphicFramePr>
            <a:graphic>
              <a:graphicData uri="http://schemas.openxmlformats.org/drawingml/2006/picture">
                <pic:pic>
                  <pic:nvPicPr>
                    <pic:cNvPr id="0" name="diag2_fefo_workflow.png"/>
                    <pic:cNvPicPr/>
                  </pic:nvPicPr>
                  <pic:blipFill>
                    <a:blip r:embed="rId10"/>
                    <a:stretch>
                      <a:fillRect/>
                    </a:stretch>
                  </pic:blipFill>
                  <pic:spPr>
                    <a:xfrm>
                      <a:off x="0" y="0"/>
                      <a:ext cx="5943600" cy="3058765"/>
                    </a:xfrm>
                    <a:prstGeom prst="rect"/>
                  </pic:spPr>
                </pic:pic>
              </a:graphicData>
            </a:graphic>
          </wp:inline>
        </w:drawing>
      </w:r>
    </w:p>
    <w:p>
      <w:pPr>
        <w:spacing w:before="80" w:after="240"/>
      </w:pPr>
      <w:r>
        <w:rPr>
          <w:i/>
          <w:color w:val="64748B"/>
          <w:sz w:val="17"/>
        </w:rPr>
        <w:t>Figure 2.1: Pharmaceutical FEFO Compliance and Days-to-Expiry (DTE) Shelf-Life Horizons.</w:t>
      </w:r>
    </w:p>
    <w:p>
      <w:pPr>
        <w:pStyle w:val="Heading2"/>
        <w:spacing w:before="280" w:after="120"/>
      </w:pPr>
      <w:r>
        <w:rPr>
          <w:b/>
          <w:color w:val="0E7490"/>
          <w:sz w:val="28"/>
        </w:rPr>
        <w:t>Chronological Shelf-Life Horizons &amp; Operational Protocols</w:t>
      </w:r>
    </w:p>
    <w:tbl>
      <w:tblPr>
        <w:tblW w:type="auto" w:w="0"/>
        <w:jc w:val="center"/>
        <w:tblLayout w:type="fixed"/>
        <w:tblLook w:firstColumn="1" w:firstRow="1" w:lastColumn="0" w:lastRow="0" w:noHBand="0" w:noVBand="1" w:val="04A0"/>
        <w:tblBorders>
          <w:top w:val="single" w:sz="6" w:space="0" w:color="cbd5e1"/>
          <w:bottom w:val="single" w:sz="8" w:space="0" w:color="94a3b8"/>
          <w:left w:val="none"/>
          <w:right w:val="none"/>
          <w:insideH w:val="single" w:sz="4" w:space="0" w:color="e2e8f0"/>
          <w:insideV w:val="none"/>
        </w:tblBorders>
      </w:tblPr>
      <w:tblGrid>
        <w:gridCol w:w="2484"/>
        <w:gridCol w:w="2484"/>
        <w:gridCol w:w="2484"/>
        <w:gridCol w:w="2484"/>
      </w:tblGrid>
      <w:tr>
        <w:tc>
          <w:tcPr>
            <w:tcW w:type="dxa" w:w="2160"/>
            <w:shd w:fill="0f172a"/>
            <w:tcMar>
              <w:top w:w="120" w:type="dxa"/>
              <w:bottom w:w="120" w:type="dxa"/>
              <w:left w:w="140" w:type="dxa"/>
              <w:right w:w="140" w:type="dxa"/>
            </w:tcMar>
          </w:tcPr>
          <w:p>
            <w:pPr>
              <w:spacing w:before="40" w:after="40"/>
            </w:pPr>
            <w:r>
              <w:rPr>
                <w:b/>
                <w:color w:val="FFFFFF"/>
                <w:sz w:val="18"/>
              </w:rPr>
              <w:t>Operational Zone</w:t>
            </w:r>
          </w:p>
        </w:tc>
        <w:tc>
          <w:tcPr>
            <w:tcW w:type="dxa" w:w="1728"/>
            <w:shd w:fill="0f172a"/>
            <w:tcMar>
              <w:top w:w="120" w:type="dxa"/>
              <w:bottom w:w="120" w:type="dxa"/>
              <w:left w:w="140" w:type="dxa"/>
              <w:right w:w="140" w:type="dxa"/>
            </w:tcMar>
          </w:tcPr>
          <w:p>
            <w:pPr>
              <w:spacing w:before="40" w:after="40"/>
            </w:pPr>
            <w:r>
              <w:rPr>
                <w:b/>
                <w:color w:val="FFFFFF"/>
                <w:sz w:val="18"/>
              </w:rPr>
              <w:t>DTE Horizon</w:t>
            </w:r>
          </w:p>
        </w:tc>
        <w:tc>
          <w:tcPr>
            <w:tcW w:type="dxa" w:w="1872"/>
            <w:shd w:fill="0f172a"/>
            <w:tcMar>
              <w:top w:w="120" w:type="dxa"/>
              <w:bottom w:w="120" w:type="dxa"/>
              <w:left w:w="140" w:type="dxa"/>
              <w:right w:w="140" w:type="dxa"/>
            </w:tcMar>
          </w:tcPr>
          <w:p>
            <w:pPr>
              <w:spacing w:before="40" w:after="40"/>
            </w:pPr>
            <w:r>
              <w:rPr>
                <w:b/>
                <w:color w:val="FFFFFF"/>
                <w:sz w:val="18"/>
              </w:rPr>
              <w:t>Financial Impact</w:t>
            </w:r>
          </w:p>
        </w:tc>
        <w:tc>
          <w:tcPr>
            <w:tcW w:type="dxa" w:w="3600"/>
            <w:shd w:fill="0f172a"/>
            <w:tcMar>
              <w:top w:w="120" w:type="dxa"/>
              <w:bottom w:w="120" w:type="dxa"/>
              <w:left w:w="140" w:type="dxa"/>
              <w:right w:w="140" w:type="dxa"/>
            </w:tcMar>
          </w:tcPr>
          <w:p>
            <w:pPr>
              <w:spacing w:before="40" w:after="40"/>
            </w:pPr>
            <w:r>
              <w:rPr>
                <w:b/>
                <w:color w:val="FFFFFF"/>
                <w:sz w:val="18"/>
              </w:rPr>
              <w:t>Regulatory Protocol &amp; System Actions</w:t>
            </w:r>
          </w:p>
        </w:tc>
      </w:tr>
      <w:tr>
        <w:tc>
          <w:tcPr>
            <w:tcW w:type="dxa" w:w="2160"/>
            <w:shd w:fill="ffffff"/>
            <w:tcMar>
              <w:top w:w="80" w:type="dxa"/>
              <w:bottom w:w="80" w:type="dxa"/>
              <w:left w:w="120" w:type="dxa"/>
              <w:right w:w="120" w:type="dxa"/>
            </w:tcMar>
          </w:tcPr>
          <w:p>
            <w:pPr>
              <w:spacing w:before="40" w:after="40"/>
            </w:pPr>
            <w:r>
              <w:rPr>
                <w:color w:val="1E293B"/>
                <w:sz w:val="17"/>
              </w:rPr>
              <w:t>Zone 1: Commercial Clearance</w:t>
            </w:r>
          </w:p>
        </w:tc>
        <w:tc>
          <w:tcPr>
            <w:tcW w:type="dxa" w:w="1728"/>
            <w:shd w:fill="ffffff"/>
            <w:tcMar>
              <w:top w:w="80" w:type="dxa"/>
              <w:bottom w:w="80" w:type="dxa"/>
              <w:left w:w="120" w:type="dxa"/>
              <w:right w:w="120" w:type="dxa"/>
            </w:tcMar>
          </w:tcPr>
          <w:p>
            <w:pPr>
              <w:spacing w:before="40" w:after="40"/>
            </w:pPr>
            <w:r>
              <w:rPr>
                <w:color w:val="1E293B"/>
                <w:sz w:val="17"/>
              </w:rPr>
              <w:t>DTE &gt; 90–120 Days</w:t>
            </w:r>
          </w:p>
        </w:tc>
        <w:tc>
          <w:tcPr>
            <w:tcW w:type="dxa" w:w="1872"/>
            <w:shd w:fill="ffffff"/>
            <w:tcMar>
              <w:top w:w="80" w:type="dxa"/>
              <w:bottom w:w="80" w:type="dxa"/>
              <w:left w:w="120" w:type="dxa"/>
              <w:right w:w="120" w:type="dxa"/>
            </w:tcMar>
          </w:tcPr>
          <w:p>
            <w:pPr>
              <w:spacing w:before="40" w:after="40"/>
            </w:pPr>
            <w:r>
              <w:rPr>
                <w:color w:val="1E293B"/>
                <w:sz w:val="17"/>
              </w:rPr>
              <w:t>100% Recovery</w:t>
            </w:r>
          </w:p>
        </w:tc>
        <w:tc>
          <w:tcPr>
            <w:tcW w:type="dxa" w:w="3600"/>
            <w:shd w:fill="ffffff"/>
            <w:tcMar>
              <w:top w:w="80" w:type="dxa"/>
              <w:bottom w:w="80" w:type="dxa"/>
              <w:left w:w="120" w:type="dxa"/>
              <w:right w:w="120" w:type="dxa"/>
            </w:tcMar>
          </w:tcPr>
          <w:p>
            <w:pPr>
              <w:spacing w:before="40" w:after="40"/>
            </w:pPr>
            <w:r>
              <w:rPr>
                <w:color w:val="1E293B"/>
                <w:sz w:val="17"/>
              </w:rPr>
              <w:t>Normal commercial dispatch. Operators scan GS1 DataMatrix barcodes at the gate pass terminal. The system verifies if the scanned batch is the earliest expiring batch; if valid, dispatch unlocks; otherwise, the bay gate remains locked.</w:t>
            </w:r>
          </w:p>
        </w:tc>
      </w:tr>
      <w:tr>
        <w:tc>
          <w:tcPr>
            <w:tcW w:type="dxa" w:w="2160"/>
            <w:shd w:fill="f8fafc"/>
            <w:tcMar>
              <w:top w:w="80" w:type="dxa"/>
              <w:bottom w:w="80" w:type="dxa"/>
              <w:left w:w="120" w:type="dxa"/>
              <w:right w:w="120" w:type="dxa"/>
            </w:tcMar>
          </w:tcPr>
          <w:p>
            <w:pPr>
              <w:spacing w:before="40" w:after="40"/>
            </w:pPr>
            <w:r>
              <w:rPr>
                <w:color w:val="1E293B"/>
                <w:sz w:val="17"/>
              </w:rPr>
              <w:t>Zone 2: Rebalancing Window</w:t>
            </w:r>
          </w:p>
        </w:tc>
        <w:tc>
          <w:tcPr>
            <w:tcW w:type="dxa" w:w="1728"/>
            <w:shd w:fill="f8fafc"/>
            <w:tcMar>
              <w:top w:w="80" w:type="dxa"/>
              <w:bottom w:w="80" w:type="dxa"/>
              <w:left w:w="120" w:type="dxa"/>
              <w:right w:w="120" w:type="dxa"/>
            </w:tcMar>
          </w:tcPr>
          <w:p>
            <w:pPr>
              <w:spacing w:before="40" w:after="40"/>
            </w:pPr>
            <w:r>
              <w:rPr>
                <w:color w:val="1E293B"/>
                <w:sz w:val="17"/>
              </w:rPr>
              <w:t>DTE 60–90 Days</w:t>
            </w:r>
          </w:p>
        </w:tc>
        <w:tc>
          <w:tcPr>
            <w:tcW w:type="dxa" w:w="1872"/>
            <w:shd w:fill="f8fafc"/>
            <w:tcMar>
              <w:top w:w="80" w:type="dxa"/>
              <w:bottom w:w="80" w:type="dxa"/>
              <w:left w:w="120" w:type="dxa"/>
              <w:right w:w="120" w:type="dxa"/>
            </w:tcMar>
          </w:tcPr>
          <w:p>
            <w:pPr>
              <w:spacing w:before="40" w:after="40"/>
            </w:pPr>
            <w:r>
              <w:rPr>
                <w:color w:val="1E293B"/>
                <w:sz w:val="17"/>
              </w:rPr>
              <w:t>90% Recovery (Less Freight)</w:t>
            </w:r>
          </w:p>
        </w:tc>
        <w:tc>
          <w:tcPr>
            <w:tcW w:type="dxa" w:w="3600"/>
            <w:shd w:fill="f8fafc"/>
            <w:tcMar>
              <w:top w:w="80" w:type="dxa"/>
              <w:bottom w:w="80" w:type="dxa"/>
              <w:left w:w="120" w:type="dxa"/>
              <w:right w:w="120" w:type="dxa"/>
            </w:tcMar>
          </w:tcPr>
          <w:p>
            <w:pPr>
              <w:spacing w:before="40" w:after="40"/>
            </w:pPr>
            <w:r>
              <w:rPr>
                <w:color w:val="1E293B"/>
                <w:sz w:val="17"/>
              </w:rPr>
              <w:t>Inter-Warehouse Transfer viable. Evaluates national network to find destination warehouses with demand velocity &gt;= 1.3x origin, ensuring stock can clear destination sales runway before expiry.</w:t>
            </w:r>
          </w:p>
        </w:tc>
      </w:tr>
      <w:tr>
        <w:tc>
          <w:tcPr>
            <w:tcW w:type="dxa" w:w="2160"/>
            <w:shd w:fill="ffffff"/>
            <w:tcMar>
              <w:top w:w="80" w:type="dxa"/>
              <w:bottom w:w="80" w:type="dxa"/>
              <w:left w:w="120" w:type="dxa"/>
              <w:right w:w="120" w:type="dxa"/>
            </w:tcMar>
          </w:tcPr>
          <w:p>
            <w:pPr>
              <w:spacing w:before="40" w:after="40"/>
            </w:pPr>
            <w:r>
              <w:rPr>
                <w:color w:val="1E293B"/>
                <w:sz w:val="17"/>
              </w:rPr>
              <w:t>Zone 3: Secondary Liquidation</w:t>
            </w:r>
          </w:p>
        </w:tc>
        <w:tc>
          <w:tcPr>
            <w:tcW w:type="dxa" w:w="1728"/>
            <w:shd w:fill="ffffff"/>
            <w:tcMar>
              <w:top w:w="80" w:type="dxa"/>
              <w:bottom w:w="80" w:type="dxa"/>
              <w:left w:w="120" w:type="dxa"/>
              <w:right w:w="120" w:type="dxa"/>
            </w:tcMar>
          </w:tcPr>
          <w:p>
            <w:pPr>
              <w:spacing w:before="40" w:after="40"/>
            </w:pPr>
            <w:r>
              <w:rPr>
                <w:color w:val="1E293B"/>
                <w:sz w:val="17"/>
              </w:rPr>
              <w:t>DTE 30–60 Days</w:t>
            </w:r>
          </w:p>
        </w:tc>
        <w:tc>
          <w:tcPr>
            <w:tcW w:type="dxa" w:w="1872"/>
            <w:shd w:fill="ffffff"/>
            <w:tcMar>
              <w:top w:w="80" w:type="dxa"/>
              <w:bottom w:w="80" w:type="dxa"/>
              <w:left w:w="120" w:type="dxa"/>
              <w:right w:w="120" w:type="dxa"/>
            </w:tcMar>
          </w:tcPr>
          <w:p>
            <w:pPr>
              <w:spacing w:before="40" w:after="40"/>
            </w:pPr>
            <w:r>
              <w:rPr>
                <w:color w:val="1E293B"/>
                <w:sz w:val="17"/>
              </w:rPr>
              <w:t>40–65% Recovery</w:t>
            </w:r>
          </w:p>
        </w:tc>
        <w:tc>
          <w:tcPr>
            <w:tcW w:type="dxa" w:w="3600"/>
            <w:shd w:fill="ffffff"/>
            <w:tcMar>
              <w:top w:w="80" w:type="dxa"/>
              <w:bottom w:w="80" w:type="dxa"/>
              <w:left w:w="120" w:type="dxa"/>
              <w:right w:w="120" w:type="dxa"/>
            </w:tcMar>
          </w:tcPr>
          <w:p>
            <w:pPr>
              <w:spacing w:before="40" w:after="40"/>
            </w:pPr>
            <w:r>
              <w:rPr>
                <w:color w:val="1E293B"/>
                <w:sz w:val="17"/>
              </w:rPr>
              <w:t>Commercial transfer window closes due to destination transit times. Stock is routed to pre-approved secondary institutional buyers, avoiding total write-off and eliminating warehouse holding costs.</w:t>
            </w:r>
          </w:p>
        </w:tc>
      </w:tr>
      <w:tr>
        <w:tc>
          <w:tcPr>
            <w:tcW w:type="dxa" w:w="2160"/>
            <w:shd w:fill="f8fafc"/>
            <w:tcMar>
              <w:top w:w="80" w:type="dxa"/>
              <w:bottom w:w="80" w:type="dxa"/>
              <w:left w:w="120" w:type="dxa"/>
              <w:right w:w="120" w:type="dxa"/>
            </w:tcMar>
          </w:tcPr>
          <w:p>
            <w:pPr>
              <w:spacing w:before="40" w:after="40"/>
            </w:pPr>
            <w:r>
              <w:rPr>
                <w:color w:val="1E293B"/>
                <w:sz w:val="17"/>
              </w:rPr>
              <w:t>Zone 4: Mandatory Destruction</w:t>
            </w:r>
          </w:p>
        </w:tc>
        <w:tc>
          <w:tcPr>
            <w:tcW w:type="dxa" w:w="1728"/>
            <w:shd w:fill="f8fafc"/>
            <w:tcMar>
              <w:top w:w="80" w:type="dxa"/>
              <w:bottom w:w="80" w:type="dxa"/>
              <w:left w:w="120" w:type="dxa"/>
              <w:right w:w="120" w:type="dxa"/>
            </w:tcMar>
          </w:tcPr>
          <w:p>
            <w:pPr>
              <w:spacing w:before="40" w:after="40"/>
            </w:pPr>
            <w:r>
              <w:rPr>
                <w:color w:val="1E293B"/>
                <w:sz w:val="17"/>
              </w:rPr>
              <w:t>DTE ≤ 30 Days (Lock ≤ 7d)</w:t>
            </w:r>
          </w:p>
        </w:tc>
        <w:tc>
          <w:tcPr>
            <w:tcW w:type="dxa" w:w="1872"/>
            <w:shd w:fill="f8fafc"/>
            <w:tcMar>
              <w:top w:w="80" w:type="dxa"/>
              <w:bottom w:w="80" w:type="dxa"/>
              <w:left w:w="120" w:type="dxa"/>
              <w:right w:w="120" w:type="dxa"/>
            </w:tcMar>
          </w:tcPr>
          <w:p>
            <w:pPr>
              <w:spacing w:before="40" w:after="40"/>
            </w:pPr>
            <w:r>
              <w:rPr>
                <w:color w:val="1E293B"/>
                <w:sz w:val="17"/>
              </w:rPr>
              <w:t>Total Write-Off (+$0.80/u fee)</w:t>
            </w:r>
          </w:p>
        </w:tc>
        <w:tc>
          <w:tcPr>
            <w:tcW w:type="dxa" w:w="3600"/>
            <w:shd w:fill="f8fafc"/>
            <w:tcMar>
              <w:top w:w="80" w:type="dxa"/>
              <w:bottom w:w="80" w:type="dxa"/>
              <w:left w:w="120" w:type="dxa"/>
              <w:right w:w="120" w:type="dxa"/>
            </w:tcMar>
          </w:tcPr>
          <w:p>
            <w:pPr>
              <w:spacing w:before="40" w:after="40"/>
            </w:pPr>
            <w:r>
              <w:rPr>
                <w:color w:val="1E293B"/>
                <w:sz w:val="17"/>
              </w:rPr>
              <w:t>CRITICAL COMPLIANCE THRESHOLD. Stock is legally barred from sale. Quarantined into a consolidated QA destruction manifest under FDA 21 CFR §211.160 / Schedule M to protect against patient liability and Form 483 audit citations.</w:t>
            </w:r>
          </w:p>
        </w:tc>
      </w:tr>
    </w:tbl>
    <w:p>
      <w:pPr>
        <w:pStyle w:val="Heading1"/>
        <w:spacing w:before="280" w:after="120"/>
      </w:pPr>
      <w:r>
        <w:rPr>
          <w:b/>
          <w:color w:val="0B2C5E"/>
          <w:sz w:val="36"/>
        </w:rPr>
        <w:t>3. Deployment Architecture &amp; Infrastructure</w:t>
      </w:r>
    </w:p>
    <w:p>
      <w:pPr>
        <w:spacing w:after="160"/>
      </w:pPr>
      <w:r>
        <w:t>PharmaTrace AI is built cloud-native with multi-environment deployment portability. It supports fully automated CI/CD containerization, interactive cloud hosting, and air-gapped on-premise deployments for pharmaceutical validated environments (GAMP 5).</w:t>
      </w:r>
    </w:p>
    <w:tbl>
      <w:tblPr>
        <w:tblW w:type="auto" w:w="0"/>
        <w:jc w:val="center"/>
        <w:tblLayout w:type="fixed"/>
        <w:tblLook w:firstColumn="1" w:firstRow="1" w:lastColumn="0" w:lastRow="0" w:noHBand="0" w:noVBand="1" w:val="04A0"/>
        <w:tblBorders>
          <w:top w:val="single" w:sz="6" w:space="0" w:color="cbd5e1"/>
          <w:bottom w:val="single" w:sz="8" w:space="0" w:color="94a3b8"/>
          <w:left w:val="none"/>
          <w:right w:val="none"/>
          <w:insideH w:val="single" w:sz="4" w:space="0" w:color="e2e8f0"/>
          <w:insideV w:val="none"/>
        </w:tblBorders>
      </w:tblPr>
      <w:tblGrid>
        <w:gridCol w:w="3312"/>
        <w:gridCol w:w="3312"/>
        <w:gridCol w:w="3312"/>
      </w:tblGrid>
      <w:tr>
        <w:tc>
          <w:tcPr>
            <w:tcW w:type="dxa" w:w="2592"/>
            <w:shd w:fill="0f172a"/>
            <w:tcMar>
              <w:top w:w="120" w:type="dxa"/>
              <w:bottom w:w="120" w:type="dxa"/>
              <w:left w:w="140" w:type="dxa"/>
              <w:right w:w="140" w:type="dxa"/>
            </w:tcMar>
          </w:tcPr>
          <w:p>
            <w:pPr>
              <w:spacing w:before="40" w:after="40"/>
            </w:pPr>
            <w:r>
              <w:rPr>
                <w:b/>
                <w:color w:val="FFFFFF"/>
                <w:sz w:val="18"/>
              </w:rPr>
              <w:t>Deployment Target</w:t>
            </w:r>
          </w:p>
        </w:tc>
        <w:tc>
          <w:tcPr>
            <w:tcW w:type="dxa" w:w="2016"/>
            <w:shd w:fill="0f172a"/>
            <w:tcMar>
              <w:top w:w="120" w:type="dxa"/>
              <w:bottom w:w="120" w:type="dxa"/>
              <w:left w:w="140" w:type="dxa"/>
              <w:right w:w="140" w:type="dxa"/>
            </w:tcMar>
          </w:tcPr>
          <w:p>
            <w:pPr>
              <w:spacing w:before="40" w:after="40"/>
            </w:pPr>
            <w:r>
              <w:rPr>
                <w:b/>
                <w:color w:val="FFFFFF"/>
                <w:sz w:val="18"/>
              </w:rPr>
              <w:t>Infrastructure Type</w:t>
            </w:r>
          </w:p>
        </w:tc>
        <w:tc>
          <w:tcPr>
            <w:tcW w:type="dxa" w:w="4752"/>
            <w:shd w:fill="0f172a"/>
            <w:tcMar>
              <w:top w:w="120" w:type="dxa"/>
              <w:bottom w:w="120" w:type="dxa"/>
              <w:left w:w="140" w:type="dxa"/>
              <w:right w:w="140" w:type="dxa"/>
            </w:tcMar>
          </w:tcPr>
          <w:p>
            <w:pPr>
              <w:spacing w:before="40" w:after="40"/>
            </w:pPr>
            <w:r>
              <w:rPr>
                <w:b/>
                <w:color w:val="FFFFFF"/>
                <w:sz w:val="18"/>
              </w:rPr>
              <w:t>Implementation Details &amp; Security Profile</w:t>
            </w:r>
          </w:p>
        </w:tc>
      </w:tr>
      <w:tr>
        <w:tc>
          <w:tcPr>
            <w:tcW w:type="dxa" w:w="2592"/>
            <w:shd w:fill="ffffff"/>
            <w:tcMar>
              <w:top w:w="80" w:type="dxa"/>
              <w:bottom w:w="80" w:type="dxa"/>
              <w:left w:w="120" w:type="dxa"/>
              <w:right w:w="120" w:type="dxa"/>
            </w:tcMar>
          </w:tcPr>
          <w:p>
            <w:pPr>
              <w:spacing w:before="40" w:after="40"/>
            </w:pPr>
            <w:r>
              <w:rPr>
                <w:color w:val="1E293B"/>
                <w:sz w:val="17"/>
              </w:rPr>
              <w:t>Streamlit Community Cloud</w:t>
            </w:r>
          </w:p>
        </w:tc>
        <w:tc>
          <w:tcPr>
            <w:tcW w:type="dxa" w:w="2016"/>
            <w:shd w:fill="ffffff"/>
            <w:tcMar>
              <w:top w:w="80" w:type="dxa"/>
              <w:bottom w:w="80" w:type="dxa"/>
              <w:left w:w="120" w:type="dxa"/>
              <w:right w:w="120" w:type="dxa"/>
            </w:tcMar>
          </w:tcPr>
          <w:p>
            <w:pPr>
              <w:spacing w:before="40" w:after="40"/>
            </w:pPr>
            <w:r>
              <w:rPr>
                <w:color w:val="1E293B"/>
                <w:sz w:val="17"/>
              </w:rPr>
              <w:t>PaaS Serverless</w:t>
            </w:r>
          </w:p>
        </w:tc>
        <w:tc>
          <w:tcPr>
            <w:tcW w:type="dxa" w:w="4752"/>
            <w:shd w:fill="ffffff"/>
            <w:tcMar>
              <w:top w:w="80" w:type="dxa"/>
              <w:bottom w:w="80" w:type="dxa"/>
              <w:left w:w="120" w:type="dxa"/>
              <w:right w:w="120" w:type="dxa"/>
            </w:tcMar>
          </w:tcPr>
          <w:p>
            <w:pPr>
              <w:spacing w:before="40" w:after="40"/>
            </w:pPr>
            <w:r>
              <w:rPr>
                <w:color w:val="1E293B"/>
                <w:sz w:val="17"/>
              </w:rPr>
              <w:t>Connected directly to the GitHub main branch (https://github.com/Siddharth0711/AMPBA-Capstone-PharmaTrace). Auto-triggers rebuilds on git push. Hosts live interactive executive application.</w:t>
            </w:r>
          </w:p>
        </w:tc>
      </w:tr>
      <w:tr>
        <w:tc>
          <w:tcPr>
            <w:tcW w:type="dxa" w:w="2592"/>
            <w:shd w:fill="f8fafc"/>
            <w:tcMar>
              <w:top w:w="80" w:type="dxa"/>
              <w:bottom w:w="80" w:type="dxa"/>
              <w:left w:w="120" w:type="dxa"/>
              <w:right w:w="120" w:type="dxa"/>
            </w:tcMar>
          </w:tcPr>
          <w:p>
            <w:pPr>
              <w:spacing w:before="40" w:after="40"/>
            </w:pPr>
            <w:r>
              <w:rPr>
                <w:color w:val="1E293B"/>
                <w:sz w:val="17"/>
              </w:rPr>
              <w:t>Docker &amp; Docker-Compose</w:t>
            </w:r>
          </w:p>
        </w:tc>
        <w:tc>
          <w:tcPr>
            <w:tcW w:type="dxa" w:w="2016"/>
            <w:shd w:fill="f8fafc"/>
            <w:tcMar>
              <w:top w:w="80" w:type="dxa"/>
              <w:bottom w:w="80" w:type="dxa"/>
              <w:left w:w="120" w:type="dxa"/>
              <w:right w:w="120" w:type="dxa"/>
            </w:tcMar>
          </w:tcPr>
          <w:p>
            <w:pPr>
              <w:spacing w:before="40" w:after="40"/>
            </w:pPr>
            <w:r>
              <w:rPr>
                <w:color w:val="1E293B"/>
                <w:sz w:val="17"/>
              </w:rPr>
              <w:t>Containerization</w:t>
            </w:r>
          </w:p>
        </w:tc>
        <w:tc>
          <w:tcPr>
            <w:tcW w:type="dxa" w:w="4752"/>
            <w:shd w:fill="f8fafc"/>
            <w:tcMar>
              <w:top w:w="80" w:type="dxa"/>
              <w:bottom w:w="80" w:type="dxa"/>
              <w:left w:w="120" w:type="dxa"/>
              <w:right w:w="120" w:type="dxa"/>
            </w:tcMar>
          </w:tcPr>
          <w:p>
            <w:pPr>
              <w:spacing w:before="40" w:after="40"/>
            </w:pPr>
            <w:r>
              <w:rPr>
                <w:color w:val="1E293B"/>
                <w:sz w:val="17"/>
              </w:rPr>
              <w:t>Production Dockerfile based on python:3.10-slim. Multi-stage build isolates dependencies, mounts /data volume, and exposes port 8501 (Streamlit) or 8888 (Jupyter).</w:t>
            </w:r>
          </w:p>
        </w:tc>
      </w:tr>
      <w:tr>
        <w:tc>
          <w:tcPr>
            <w:tcW w:type="dxa" w:w="2592"/>
            <w:shd w:fill="ffffff"/>
            <w:tcMar>
              <w:top w:w="80" w:type="dxa"/>
              <w:bottom w:w="80" w:type="dxa"/>
              <w:left w:w="120" w:type="dxa"/>
              <w:right w:w="120" w:type="dxa"/>
            </w:tcMar>
          </w:tcPr>
          <w:p>
            <w:pPr>
              <w:spacing w:before="40" w:after="40"/>
            </w:pPr>
            <w:r>
              <w:rPr>
                <w:color w:val="1E293B"/>
                <w:sz w:val="17"/>
              </w:rPr>
              <w:t>MyBinder Environment</w:t>
            </w:r>
          </w:p>
        </w:tc>
        <w:tc>
          <w:tcPr>
            <w:tcW w:type="dxa" w:w="2016"/>
            <w:shd w:fill="ffffff"/>
            <w:tcMar>
              <w:top w:w="80" w:type="dxa"/>
              <w:bottom w:w="80" w:type="dxa"/>
              <w:left w:w="120" w:type="dxa"/>
              <w:right w:w="120" w:type="dxa"/>
            </w:tcMar>
          </w:tcPr>
          <w:p>
            <w:pPr>
              <w:spacing w:before="40" w:after="40"/>
            </w:pPr>
            <w:r>
              <w:rPr>
                <w:color w:val="1E293B"/>
                <w:sz w:val="17"/>
              </w:rPr>
              <w:t>Zero-Install Interactive</w:t>
            </w:r>
          </w:p>
        </w:tc>
        <w:tc>
          <w:tcPr>
            <w:tcW w:type="dxa" w:w="4752"/>
            <w:shd w:fill="ffffff"/>
            <w:tcMar>
              <w:top w:w="80" w:type="dxa"/>
              <w:bottom w:w="80" w:type="dxa"/>
              <w:left w:w="120" w:type="dxa"/>
              <w:right w:w="120" w:type="dxa"/>
            </w:tcMar>
          </w:tcPr>
          <w:p>
            <w:pPr>
              <w:spacing w:before="40" w:after="40"/>
            </w:pPr>
            <w:r>
              <w:rPr>
                <w:color w:val="1E293B"/>
                <w:sz w:val="17"/>
              </w:rPr>
              <w:t>Uses repo2docker configuration in .binder/requirements.txt. Enables academic evaluators and external auditors to launch interactive Jupyter Notebook sessions in one click.</w:t>
            </w:r>
          </w:p>
        </w:tc>
      </w:tr>
      <w:tr>
        <w:tc>
          <w:tcPr>
            <w:tcW w:type="dxa" w:w="2592"/>
            <w:shd w:fill="f8fafc"/>
            <w:tcMar>
              <w:top w:w="80" w:type="dxa"/>
              <w:bottom w:w="80" w:type="dxa"/>
              <w:left w:w="120" w:type="dxa"/>
              <w:right w:w="120" w:type="dxa"/>
            </w:tcMar>
          </w:tcPr>
          <w:p>
            <w:pPr>
              <w:spacing w:before="40" w:after="40"/>
            </w:pPr>
            <w:r>
              <w:rPr>
                <w:color w:val="1E293B"/>
                <w:sz w:val="17"/>
              </w:rPr>
              <w:t>GitHub Actions CI/CD</w:t>
            </w:r>
          </w:p>
        </w:tc>
        <w:tc>
          <w:tcPr>
            <w:tcW w:type="dxa" w:w="2016"/>
            <w:shd w:fill="f8fafc"/>
            <w:tcMar>
              <w:top w:w="80" w:type="dxa"/>
              <w:bottom w:w="80" w:type="dxa"/>
              <w:left w:w="120" w:type="dxa"/>
              <w:right w:w="120" w:type="dxa"/>
            </w:tcMar>
          </w:tcPr>
          <w:p>
            <w:pPr>
              <w:spacing w:before="40" w:after="40"/>
            </w:pPr>
            <w:r>
              <w:rPr>
                <w:color w:val="1E293B"/>
                <w:sz w:val="17"/>
              </w:rPr>
              <w:t>Automated Testing</w:t>
            </w:r>
          </w:p>
        </w:tc>
        <w:tc>
          <w:tcPr>
            <w:tcW w:type="dxa" w:w="4752"/>
            <w:shd w:fill="f8fafc"/>
            <w:tcMar>
              <w:top w:w="80" w:type="dxa"/>
              <w:bottom w:w="80" w:type="dxa"/>
              <w:left w:w="120" w:type="dxa"/>
              <w:right w:w="120" w:type="dxa"/>
            </w:tcMar>
          </w:tcPr>
          <w:p>
            <w:pPr>
              <w:spacing w:before="40" w:after="40"/>
            </w:pPr>
            <w:r>
              <w:rPr>
                <w:color w:val="1E293B"/>
                <w:sz w:val="17"/>
              </w:rPr>
              <w:t>Workflow (.github/workflows/notebook-check.yml) runs headless automated validation via nbconvert, ensuring notebook execution cleanliness and syntax integrity on every commit.</w:t>
            </w:r>
          </w:p>
        </w:tc>
      </w:tr>
    </w:tbl>
    <w:p>
      <w:pPr>
        <w:pStyle w:val="Heading1"/>
        <w:spacing w:before="280" w:after="120"/>
      </w:pPr>
      <w:r>
        <w:rPr>
          <w:b/>
          <w:color w:val="0B2C5E"/>
          <w:sz w:val="36"/>
        </w:rPr>
        <w:t>4. Database Architecture, Storage &amp; Data Governance</w:t>
      </w:r>
    </w:p>
    <w:p>
      <w:pPr>
        <w:pStyle w:val="Heading2"/>
        <w:spacing w:before="280" w:after="120"/>
      </w:pPr>
      <w:r>
        <w:rPr>
          <w:b/>
          <w:color w:val="0E7490"/>
          <w:sz w:val="28"/>
        </w:rPr>
        <w:t>Relational Schema &amp; Ingested Tables</w:t>
      </w:r>
    </w:p>
    <w:p>
      <w:pPr>
        <w:spacing w:after="160"/>
      </w:pPr>
      <w:r>
        <w:t>Data persistence is architected around a 3NF relational schema structured across 9 core business domains. During execution, data is mapped into high-performance in-memory Pandas/Arrow data structures with automatic caching via @st.cache_data.</w:t>
      </w:r>
    </w:p>
    <w:tbl>
      <w:tblPr>
        <w:tblW w:type="auto" w:w="0"/>
        <w:jc w:val="center"/>
        <w:tblLayout w:type="fixed"/>
        <w:tblLook w:firstColumn="1" w:firstRow="1" w:lastColumn="0" w:lastRow="0" w:noHBand="0" w:noVBand="1" w:val="04A0"/>
        <w:tblBorders>
          <w:top w:val="single" w:sz="6" w:space="0" w:color="cbd5e1"/>
          <w:bottom w:val="single" w:sz="8" w:space="0" w:color="94a3b8"/>
          <w:left w:val="none"/>
          <w:right w:val="none"/>
          <w:insideH w:val="single" w:sz="4" w:space="0" w:color="e2e8f0"/>
          <w:insideV w:val="none"/>
        </w:tblBorders>
      </w:tblPr>
      <w:tblGrid>
        <w:gridCol w:w="2484"/>
        <w:gridCol w:w="2484"/>
        <w:gridCol w:w="2484"/>
        <w:gridCol w:w="2484"/>
      </w:tblGrid>
      <w:tr>
        <w:tc>
          <w:tcPr>
            <w:tcW w:type="dxa" w:w="2016"/>
            <w:shd w:fill="0f172a"/>
            <w:tcMar>
              <w:top w:w="120" w:type="dxa"/>
              <w:bottom w:w="120" w:type="dxa"/>
              <w:left w:w="140" w:type="dxa"/>
              <w:right w:w="140" w:type="dxa"/>
            </w:tcMar>
          </w:tcPr>
          <w:p>
            <w:pPr>
              <w:spacing w:before="40" w:after="40"/>
            </w:pPr>
            <w:r>
              <w:rPr>
                <w:b/>
                <w:color w:val="FFFFFF"/>
                <w:sz w:val="18"/>
              </w:rPr>
              <w:t>Table / Sheet</w:t>
            </w:r>
          </w:p>
        </w:tc>
        <w:tc>
          <w:tcPr>
            <w:tcW w:type="dxa" w:w="1584"/>
            <w:shd w:fill="0f172a"/>
            <w:tcMar>
              <w:top w:w="120" w:type="dxa"/>
              <w:bottom w:w="120" w:type="dxa"/>
              <w:left w:w="140" w:type="dxa"/>
              <w:right w:w="140" w:type="dxa"/>
            </w:tcMar>
          </w:tcPr>
          <w:p>
            <w:pPr>
              <w:spacing w:before="40" w:after="40"/>
            </w:pPr>
            <w:r>
              <w:rPr>
                <w:b/>
                <w:color w:val="FFFFFF"/>
                <w:sz w:val="18"/>
              </w:rPr>
              <w:t>Primary Key</w:t>
            </w:r>
          </w:p>
        </w:tc>
        <w:tc>
          <w:tcPr>
            <w:tcW w:type="dxa" w:w="3744"/>
            <w:shd w:fill="0f172a"/>
            <w:tcMar>
              <w:top w:w="120" w:type="dxa"/>
              <w:bottom w:w="120" w:type="dxa"/>
              <w:left w:w="140" w:type="dxa"/>
              <w:right w:w="140" w:type="dxa"/>
            </w:tcMar>
          </w:tcPr>
          <w:p>
            <w:pPr>
              <w:spacing w:before="40" w:after="40"/>
            </w:pPr>
            <w:r>
              <w:rPr>
                <w:b/>
                <w:color w:val="FFFFFF"/>
                <w:sz w:val="18"/>
              </w:rPr>
              <w:t>Key Attributes</w:t>
            </w:r>
          </w:p>
        </w:tc>
        <w:tc>
          <w:tcPr>
            <w:tcW w:type="dxa" w:w="2016"/>
            <w:shd w:fill="0f172a"/>
            <w:tcMar>
              <w:top w:w="120" w:type="dxa"/>
              <w:bottom w:w="120" w:type="dxa"/>
              <w:left w:w="140" w:type="dxa"/>
              <w:right w:w="140" w:type="dxa"/>
            </w:tcMar>
          </w:tcPr>
          <w:p>
            <w:pPr>
              <w:spacing w:before="40" w:after="40"/>
            </w:pPr>
            <w:r>
              <w:rPr>
                <w:b/>
                <w:color w:val="FFFFFF"/>
                <w:sz w:val="18"/>
              </w:rPr>
              <w:t>Functional Purpose</w:t>
            </w:r>
          </w:p>
        </w:tc>
      </w:tr>
      <w:tr>
        <w:tc>
          <w:tcPr>
            <w:tcW w:type="dxa" w:w="2016"/>
            <w:shd w:fill="ffffff"/>
            <w:tcMar>
              <w:top w:w="80" w:type="dxa"/>
              <w:bottom w:w="80" w:type="dxa"/>
              <w:left w:w="120" w:type="dxa"/>
              <w:right w:w="120" w:type="dxa"/>
            </w:tcMar>
          </w:tcPr>
          <w:p>
            <w:pPr>
              <w:spacing w:before="40" w:after="40"/>
            </w:pPr>
            <w:r>
              <w:rPr>
                <w:color w:val="1E293B"/>
                <w:sz w:val="17"/>
              </w:rPr>
              <w:t>products</w:t>
            </w:r>
          </w:p>
        </w:tc>
        <w:tc>
          <w:tcPr>
            <w:tcW w:type="dxa" w:w="1584"/>
            <w:shd w:fill="ffffff"/>
            <w:tcMar>
              <w:top w:w="80" w:type="dxa"/>
              <w:bottom w:w="80" w:type="dxa"/>
              <w:left w:w="120" w:type="dxa"/>
              <w:right w:w="120" w:type="dxa"/>
            </w:tcMar>
          </w:tcPr>
          <w:p>
            <w:pPr>
              <w:spacing w:before="40" w:after="40"/>
            </w:pPr>
            <w:r>
              <w:rPr>
                <w:color w:val="1E293B"/>
                <w:sz w:val="17"/>
              </w:rPr>
              <w:t>product_id (PK)</w:t>
            </w:r>
          </w:p>
        </w:tc>
        <w:tc>
          <w:tcPr>
            <w:tcW w:type="dxa" w:w="3744"/>
            <w:shd w:fill="ffffff"/>
            <w:tcMar>
              <w:top w:w="80" w:type="dxa"/>
              <w:bottom w:w="80" w:type="dxa"/>
              <w:left w:w="120" w:type="dxa"/>
              <w:right w:w="120" w:type="dxa"/>
            </w:tcMar>
          </w:tcPr>
          <w:p>
            <w:pPr>
              <w:spacing w:before="40" w:after="40"/>
            </w:pPr>
            <w:r>
              <w:rPr>
                <w:color w:val="1E293B"/>
                <w:sz w:val="17"/>
              </w:rPr>
              <w:t>product_name, generic_name, dosage_form, strength, pack_size, unit_price, pharm_class, storage_temp_c, is_cold_chain, abc_class, fsn_class</w:t>
            </w:r>
          </w:p>
        </w:tc>
        <w:tc>
          <w:tcPr>
            <w:tcW w:type="dxa" w:w="2016"/>
            <w:shd w:fill="ffffff"/>
            <w:tcMar>
              <w:top w:w="80" w:type="dxa"/>
              <w:bottom w:w="80" w:type="dxa"/>
              <w:left w:w="120" w:type="dxa"/>
              <w:right w:w="120" w:type="dxa"/>
            </w:tcMar>
          </w:tcPr>
          <w:p>
            <w:pPr>
              <w:spacing w:before="40" w:after="40"/>
            </w:pPr>
            <w:r>
              <w:rPr>
                <w:color w:val="1E293B"/>
                <w:sz w:val="17"/>
              </w:rPr>
              <w:t>Master SKU formulary definitions</w:t>
            </w:r>
          </w:p>
        </w:tc>
      </w:tr>
      <w:tr>
        <w:tc>
          <w:tcPr>
            <w:tcW w:type="dxa" w:w="2016"/>
            <w:shd w:fill="f8fafc"/>
            <w:tcMar>
              <w:top w:w="80" w:type="dxa"/>
              <w:bottom w:w="80" w:type="dxa"/>
              <w:left w:w="120" w:type="dxa"/>
              <w:right w:w="120" w:type="dxa"/>
            </w:tcMar>
          </w:tcPr>
          <w:p>
            <w:pPr>
              <w:spacing w:before="40" w:after="40"/>
            </w:pPr>
            <w:r>
              <w:rPr>
                <w:color w:val="1E293B"/>
                <w:sz w:val="17"/>
              </w:rPr>
              <w:t>warehouses</w:t>
            </w:r>
          </w:p>
        </w:tc>
        <w:tc>
          <w:tcPr>
            <w:tcW w:type="dxa" w:w="1584"/>
            <w:shd w:fill="f8fafc"/>
            <w:tcMar>
              <w:top w:w="80" w:type="dxa"/>
              <w:bottom w:w="80" w:type="dxa"/>
              <w:left w:w="120" w:type="dxa"/>
              <w:right w:w="120" w:type="dxa"/>
            </w:tcMar>
          </w:tcPr>
          <w:p>
            <w:pPr>
              <w:spacing w:before="40" w:after="40"/>
            </w:pPr>
            <w:r>
              <w:rPr>
                <w:color w:val="1E293B"/>
                <w:sz w:val="17"/>
              </w:rPr>
              <w:t>warehouse_id (PK)</w:t>
            </w:r>
          </w:p>
        </w:tc>
        <w:tc>
          <w:tcPr>
            <w:tcW w:type="dxa" w:w="3744"/>
            <w:shd w:fill="f8fafc"/>
            <w:tcMar>
              <w:top w:w="80" w:type="dxa"/>
              <w:bottom w:w="80" w:type="dxa"/>
              <w:left w:w="120" w:type="dxa"/>
              <w:right w:w="120" w:type="dxa"/>
            </w:tcMar>
          </w:tcPr>
          <w:p>
            <w:pPr>
              <w:spacing w:before="40" w:after="40"/>
            </w:pPr>
            <w:r>
              <w:rPr>
                <w:color w:val="1E293B"/>
                <w:sz w:val="17"/>
              </w:rPr>
              <w:t>warehouse_name, facility_type, city, state, country, storage_type, total_capacity_pallets, current_utilization_pct, is_gmp_certified</w:t>
            </w:r>
          </w:p>
        </w:tc>
        <w:tc>
          <w:tcPr>
            <w:tcW w:type="dxa" w:w="2016"/>
            <w:shd w:fill="f8fafc"/>
            <w:tcMar>
              <w:top w:w="80" w:type="dxa"/>
              <w:bottom w:w="80" w:type="dxa"/>
              <w:left w:w="120" w:type="dxa"/>
              <w:right w:w="120" w:type="dxa"/>
            </w:tcMar>
          </w:tcPr>
          <w:p>
            <w:pPr>
              <w:spacing w:before="40" w:after="40"/>
            </w:pPr>
            <w:r>
              <w:rPr>
                <w:color w:val="1E293B"/>
                <w:sz w:val="17"/>
              </w:rPr>
              <w:t>Distribution network nodes &amp; specs</w:t>
            </w:r>
          </w:p>
        </w:tc>
      </w:tr>
      <w:tr>
        <w:tc>
          <w:tcPr>
            <w:tcW w:type="dxa" w:w="2016"/>
            <w:shd w:fill="ffffff"/>
            <w:tcMar>
              <w:top w:w="80" w:type="dxa"/>
              <w:bottom w:w="80" w:type="dxa"/>
              <w:left w:w="120" w:type="dxa"/>
              <w:right w:w="120" w:type="dxa"/>
            </w:tcMar>
          </w:tcPr>
          <w:p>
            <w:pPr>
              <w:spacing w:before="40" w:after="40"/>
            </w:pPr>
            <w:r>
              <w:rPr>
                <w:color w:val="1E293B"/>
                <w:sz w:val="17"/>
              </w:rPr>
              <w:t>finished_product_batches</w:t>
            </w:r>
          </w:p>
        </w:tc>
        <w:tc>
          <w:tcPr>
            <w:tcW w:type="dxa" w:w="1584"/>
            <w:shd w:fill="ffffff"/>
            <w:tcMar>
              <w:top w:w="80" w:type="dxa"/>
              <w:bottom w:w="80" w:type="dxa"/>
              <w:left w:w="120" w:type="dxa"/>
              <w:right w:w="120" w:type="dxa"/>
            </w:tcMar>
          </w:tcPr>
          <w:p>
            <w:pPr>
              <w:spacing w:before="40" w:after="40"/>
            </w:pPr>
            <w:r>
              <w:rPr>
                <w:color w:val="1E293B"/>
                <w:sz w:val="17"/>
              </w:rPr>
              <w:t>fp_batch_id (PK)</w:t>
            </w:r>
          </w:p>
        </w:tc>
        <w:tc>
          <w:tcPr>
            <w:tcW w:type="dxa" w:w="3744"/>
            <w:shd w:fill="ffffff"/>
            <w:tcMar>
              <w:top w:w="80" w:type="dxa"/>
              <w:bottom w:w="80" w:type="dxa"/>
              <w:left w:w="120" w:type="dxa"/>
              <w:right w:w="120" w:type="dxa"/>
            </w:tcMar>
          </w:tcPr>
          <w:p>
            <w:pPr>
              <w:spacing w:before="40" w:after="40"/>
            </w:pPr>
            <w:r>
              <w:rPr>
                <w:color w:val="1E293B"/>
                <w:sz w:val="17"/>
              </w:rPr>
              <w:t>product_id (FK), batch_number, manufacture_date, expiry_date, batch_size_units, qc_status, release_date, recall_flag</w:t>
            </w:r>
          </w:p>
        </w:tc>
        <w:tc>
          <w:tcPr>
            <w:tcW w:type="dxa" w:w="2016"/>
            <w:shd w:fill="ffffff"/>
            <w:tcMar>
              <w:top w:w="80" w:type="dxa"/>
              <w:bottom w:w="80" w:type="dxa"/>
              <w:left w:w="120" w:type="dxa"/>
              <w:right w:w="120" w:type="dxa"/>
            </w:tcMar>
          </w:tcPr>
          <w:p>
            <w:pPr>
              <w:spacing w:before="40" w:after="40"/>
            </w:pPr>
            <w:r>
              <w:rPr>
                <w:color w:val="1E293B"/>
                <w:sz w:val="17"/>
              </w:rPr>
              <w:t>GMP manufacturing batch genealogy</w:t>
            </w:r>
          </w:p>
        </w:tc>
      </w:tr>
      <w:tr>
        <w:tc>
          <w:tcPr>
            <w:tcW w:type="dxa" w:w="2016"/>
            <w:shd w:fill="f8fafc"/>
            <w:tcMar>
              <w:top w:w="80" w:type="dxa"/>
              <w:bottom w:w="80" w:type="dxa"/>
              <w:left w:w="120" w:type="dxa"/>
              <w:right w:w="120" w:type="dxa"/>
            </w:tcMar>
          </w:tcPr>
          <w:p>
            <w:pPr>
              <w:spacing w:before="40" w:after="40"/>
            </w:pPr>
            <w:r>
              <w:rPr>
                <w:color w:val="1E293B"/>
                <w:sz w:val="17"/>
              </w:rPr>
              <w:t>inventory</w:t>
            </w:r>
          </w:p>
        </w:tc>
        <w:tc>
          <w:tcPr>
            <w:tcW w:type="dxa" w:w="1584"/>
            <w:shd w:fill="f8fafc"/>
            <w:tcMar>
              <w:top w:w="80" w:type="dxa"/>
              <w:bottom w:w="80" w:type="dxa"/>
              <w:left w:w="120" w:type="dxa"/>
              <w:right w:w="120" w:type="dxa"/>
            </w:tcMar>
          </w:tcPr>
          <w:p>
            <w:pPr>
              <w:spacing w:before="40" w:after="40"/>
            </w:pPr>
            <w:r>
              <w:rPr>
                <w:color w:val="1E293B"/>
                <w:sz w:val="17"/>
              </w:rPr>
              <w:t>inventory_id (PK)</w:t>
            </w:r>
          </w:p>
        </w:tc>
        <w:tc>
          <w:tcPr>
            <w:tcW w:type="dxa" w:w="3744"/>
            <w:shd w:fill="f8fafc"/>
            <w:tcMar>
              <w:top w:w="80" w:type="dxa"/>
              <w:bottom w:w="80" w:type="dxa"/>
              <w:left w:w="120" w:type="dxa"/>
              <w:right w:w="120" w:type="dxa"/>
            </w:tcMar>
          </w:tcPr>
          <w:p>
            <w:pPr>
              <w:spacing w:before="40" w:after="40"/>
            </w:pPr>
            <w:r>
              <w:rPr>
                <w:color w:val="1E293B"/>
                <w:sz w:val="17"/>
              </w:rPr>
              <w:t>fp_batch_id (FK), warehouse_id (FK), quantity_on_hand, days_to_expiry, expiry_risk, holding_cost_usd</w:t>
            </w:r>
          </w:p>
        </w:tc>
        <w:tc>
          <w:tcPr>
            <w:tcW w:type="dxa" w:w="2016"/>
            <w:shd w:fill="f8fafc"/>
            <w:tcMar>
              <w:top w:w="80" w:type="dxa"/>
              <w:bottom w:w="80" w:type="dxa"/>
              <w:left w:w="120" w:type="dxa"/>
              <w:right w:w="120" w:type="dxa"/>
            </w:tcMar>
          </w:tcPr>
          <w:p>
            <w:pPr>
              <w:spacing w:before="40" w:after="40"/>
            </w:pPr>
            <w:r>
              <w:rPr>
                <w:color w:val="1E293B"/>
                <w:sz w:val="17"/>
              </w:rPr>
              <w:t>Active physical stock balance</w:t>
            </w:r>
          </w:p>
        </w:tc>
      </w:tr>
      <w:tr>
        <w:tc>
          <w:tcPr>
            <w:tcW w:type="dxa" w:w="2016"/>
            <w:shd w:fill="ffffff"/>
            <w:tcMar>
              <w:top w:w="80" w:type="dxa"/>
              <w:bottom w:w="80" w:type="dxa"/>
              <w:left w:w="120" w:type="dxa"/>
              <w:right w:w="120" w:type="dxa"/>
            </w:tcMar>
          </w:tcPr>
          <w:p>
            <w:pPr>
              <w:spacing w:before="40" w:after="40"/>
            </w:pPr>
            <w:r>
              <w:rPr>
                <w:color w:val="1E293B"/>
                <w:sz w:val="17"/>
              </w:rPr>
              <w:t>monthly_demand</w:t>
            </w:r>
          </w:p>
        </w:tc>
        <w:tc>
          <w:tcPr>
            <w:tcW w:type="dxa" w:w="1584"/>
            <w:shd w:fill="ffffff"/>
            <w:tcMar>
              <w:top w:w="80" w:type="dxa"/>
              <w:bottom w:w="80" w:type="dxa"/>
              <w:left w:w="120" w:type="dxa"/>
              <w:right w:w="120" w:type="dxa"/>
            </w:tcMar>
          </w:tcPr>
          <w:p>
            <w:pPr>
              <w:spacing w:before="40" w:after="40"/>
            </w:pPr>
            <w:r>
              <w:rPr>
                <w:color w:val="1E293B"/>
                <w:sz w:val="17"/>
              </w:rPr>
              <w:t>demand_id (PK)</w:t>
            </w:r>
          </w:p>
        </w:tc>
        <w:tc>
          <w:tcPr>
            <w:tcW w:type="dxa" w:w="3744"/>
            <w:shd w:fill="ffffff"/>
            <w:tcMar>
              <w:top w:w="80" w:type="dxa"/>
              <w:bottom w:w="80" w:type="dxa"/>
              <w:left w:w="120" w:type="dxa"/>
              <w:right w:w="120" w:type="dxa"/>
            </w:tcMar>
          </w:tcPr>
          <w:p>
            <w:pPr>
              <w:spacing w:before="40" w:after="40"/>
            </w:pPr>
            <w:r>
              <w:rPr>
                <w:color w:val="1E293B"/>
                <w:sz w:val="17"/>
              </w:rPr>
              <w:t>product_id (FK), warehouse_id (FK), month_year, quantity_dispatched_units, backorder_units, fill_rate_pct</w:t>
            </w:r>
          </w:p>
        </w:tc>
        <w:tc>
          <w:tcPr>
            <w:tcW w:type="dxa" w:w="2016"/>
            <w:shd w:fill="ffffff"/>
            <w:tcMar>
              <w:top w:w="80" w:type="dxa"/>
              <w:bottom w:w="80" w:type="dxa"/>
              <w:left w:w="120" w:type="dxa"/>
              <w:right w:w="120" w:type="dxa"/>
            </w:tcMar>
          </w:tcPr>
          <w:p>
            <w:pPr>
              <w:spacing w:before="40" w:after="40"/>
            </w:pPr>
            <w:r>
              <w:rPr>
                <w:color w:val="1E293B"/>
                <w:sz w:val="17"/>
              </w:rPr>
              <w:t>24-month historical sales velocity</w:t>
            </w:r>
          </w:p>
        </w:tc>
      </w:tr>
      <w:tr>
        <w:tc>
          <w:tcPr>
            <w:tcW w:type="dxa" w:w="2016"/>
            <w:shd w:fill="f8fafc"/>
            <w:tcMar>
              <w:top w:w="80" w:type="dxa"/>
              <w:bottom w:w="80" w:type="dxa"/>
              <w:left w:w="120" w:type="dxa"/>
              <w:right w:w="120" w:type="dxa"/>
            </w:tcMar>
          </w:tcPr>
          <w:p>
            <w:pPr>
              <w:spacing w:before="40" w:after="40"/>
            </w:pPr>
            <w:r>
              <w:rPr>
                <w:color w:val="1E293B"/>
                <w:sz w:val="17"/>
              </w:rPr>
              <w:t>economic_parameters</w:t>
            </w:r>
          </w:p>
        </w:tc>
        <w:tc>
          <w:tcPr>
            <w:tcW w:type="dxa" w:w="1584"/>
            <w:shd w:fill="f8fafc"/>
            <w:tcMar>
              <w:top w:w="80" w:type="dxa"/>
              <w:bottom w:w="80" w:type="dxa"/>
              <w:left w:w="120" w:type="dxa"/>
              <w:right w:w="120" w:type="dxa"/>
            </w:tcMar>
          </w:tcPr>
          <w:p>
            <w:pPr>
              <w:spacing w:before="40" w:after="40"/>
            </w:pPr>
            <w:r>
              <w:rPr>
                <w:color w:val="1E293B"/>
                <w:sz w:val="17"/>
              </w:rPr>
              <w:t>product_id (PK)</w:t>
            </w:r>
          </w:p>
        </w:tc>
        <w:tc>
          <w:tcPr>
            <w:tcW w:type="dxa" w:w="3744"/>
            <w:shd w:fill="f8fafc"/>
            <w:tcMar>
              <w:top w:w="80" w:type="dxa"/>
              <w:bottom w:w="80" w:type="dxa"/>
              <w:left w:w="120" w:type="dxa"/>
              <w:right w:w="120" w:type="dxa"/>
            </w:tcMar>
          </w:tcPr>
          <w:p>
            <w:pPr>
              <w:spacing w:before="40" w:after="40"/>
            </w:pPr>
            <w:r>
              <w:rPr>
                <w:color w:val="1E293B"/>
                <w:sz w:val="17"/>
              </w:rPr>
              <w:t>daily_holding_cost_per_unit_usd, certified_destruction_cost_per_unit_usd, secondary_liquidation_recovery_pct, economic_order_quantity_units</w:t>
            </w:r>
          </w:p>
        </w:tc>
        <w:tc>
          <w:tcPr>
            <w:tcW w:type="dxa" w:w="2016"/>
            <w:shd w:fill="f8fafc"/>
            <w:tcMar>
              <w:top w:w="80" w:type="dxa"/>
              <w:bottom w:w="80" w:type="dxa"/>
              <w:left w:w="120" w:type="dxa"/>
              <w:right w:w="120" w:type="dxa"/>
            </w:tcMar>
          </w:tcPr>
          <w:p>
            <w:pPr>
              <w:spacing w:before="40" w:after="40"/>
            </w:pPr>
            <w:r>
              <w:rPr>
                <w:color w:val="1E293B"/>
                <w:sz w:val="17"/>
              </w:rPr>
              <w:t>LP simplex financial coefficients</w:t>
            </w:r>
          </w:p>
        </w:tc>
      </w:tr>
      <w:tr>
        <w:tc>
          <w:tcPr>
            <w:tcW w:type="dxa" w:w="2016"/>
            <w:shd w:fill="ffffff"/>
            <w:tcMar>
              <w:top w:w="80" w:type="dxa"/>
              <w:bottom w:w="80" w:type="dxa"/>
              <w:left w:w="120" w:type="dxa"/>
              <w:right w:w="120" w:type="dxa"/>
            </w:tcMar>
          </w:tcPr>
          <w:p>
            <w:pPr>
              <w:spacing w:before="40" w:after="40"/>
            </w:pPr>
            <w:r>
              <w:rPr>
                <w:color w:val="1E293B"/>
                <w:sz w:val="17"/>
              </w:rPr>
              <w:t>freight_matrix</w:t>
            </w:r>
          </w:p>
        </w:tc>
        <w:tc>
          <w:tcPr>
            <w:tcW w:type="dxa" w:w="1584"/>
            <w:shd w:fill="ffffff"/>
            <w:tcMar>
              <w:top w:w="80" w:type="dxa"/>
              <w:bottom w:w="80" w:type="dxa"/>
              <w:left w:w="120" w:type="dxa"/>
              <w:right w:w="120" w:type="dxa"/>
            </w:tcMar>
          </w:tcPr>
          <w:p>
            <w:pPr>
              <w:spacing w:before="40" w:after="40"/>
            </w:pPr>
            <w:r>
              <w:rPr>
                <w:color w:val="1E293B"/>
                <w:sz w:val="17"/>
              </w:rPr>
              <w:t>route_id (PK)</w:t>
            </w:r>
          </w:p>
        </w:tc>
        <w:tc>
          <w:tcPr>
            <w:tcW w:type="dxa" w:w="3744"/>
            <w:shd w:fill="ffffff"/>
            <w:tcMar>
              <w:top w:w="80" w:type="dxa"/>
              <w:bottom w:w="80" w:type="dxa"/>
              <w:left w:w="120" w:type="dxa"/>
              <w:right w:w="120" w:type="dxa"/>
            </w:tcMar>
          </w:tcPr>
          <w:p>
            <w:pPr>
              <w:spacing w:before="40" w:after="40"/>
            </w:pPr>
            <w:r>
              <w:rPr>
                <w:color w:val="1E293B"/>
                <w:sz w:val="17"/>
              </w:rPr>
              <w:t>from_warehouse_id (FK), to_warehouse_id (FK), distance_km, transit_days, ambient_transfer_cost_per_unit_usd, cold_chain_transfer_cost_per_unit_usd</w:t>
            </w:r>
          </w:p>
        </w:tc>
        <w:tc>
          <w:tcPr>
            <w:tcW w:type="dxa" w:w="2016"/>
            <w:shd w:fill="ffffff"/>
            <w:tcMar>
              <w:top w:w="80" w:type="dxa"/>
              <w:bottom w:w="80" w:type="dxa"/>
              <w:left w:w="120" w:type="dxa"/>
              <w:right w:w="120" w:type="dxa"/>
            </w:tcMar>
          </w:tcPr>
          <w:p>
            <w:pPr>
              <w:spacing w:before="40" w:after="40"/>
            </w:pPr>
            <w:r>
              <w:rPr>
                <w:color w:val="1E293B"/>
                <w:sz w:val="17"/>
              </w:rPr>
              <w:t>Inter-warehouse transit cost network</w:t>
            </w:r>
          </w:p>
        </w:tc>
      </w:tr>
      <w:tr>
        <w:tc>
          <w:tcPr>
            <w:tcW w:type="dxa" w:w="2016"/>
            <w:shd w:fill="f8fafc"/>
            <w:tcMar>
              <w:top w:w="80" w:type="dxa"/>
              <w:bottom w:w="80" w:type="dxa"/>
              <w:left w:w="120" w:type="dxa"/>
              <w:right w:w="120" w:type="dxa"/>
            </w:tcMar>
          </w:tcPr>
          <w:p>
            <w:pPr>
              <w:spacing w:before="40" w:after="40"/>
            </w:pPr>
            <w:r>
              <w:rPr>
                <w:color w:val="1E293B"/>
                <w:sz w:val="17"/>
              </w:rPr>
              <w:t>fefo_compliance_log</w:t>
            </w:r>
          </w:p>
        </w:tc>
        <w:tc>
          <w:tcPr>
            <w:tcW w:type="dxa" w:w="1584"/>
            <w:shd w:fill="f8fafc"/>
            <w:tcMar>
              <w:top w:w="80" w:type="dxa"/>
              <w:bottom w:w="80" w:type="dxa"/>
              <w:left w:w="120" w:type="dxa"/>
              <w:right w:w="120" w:type="dxa"/>
            </w:tcMar>
          </w:tcPr>
          <w:p>
            <w:pPr>
              <w:spacing w:before="40" w:after="40"/>
            </w:pPr>
            <w:r>
              <w:rPr>
                <w:color w:val="1E293B"/>
                <w:sz w:val="17"/>
              </w:rPr>
              <w:t>log_id (PK)</w:t>
            </w:r>
          </w:p>
        </w:tc>
        <w:tc>
          <w:tcPr>
            <w:tcW w:type="dxa" w:w="3744"/>
            <w:shd w:fill="f8fafc"/>
            <w:tcMar>
              <w:top w:w="80" w:type="dxa"/>
              <w:bottom w:w="80" w:type="dxa"/>
              <w:left w:w="120" w:type="dxa"/>
              <w:right w:w="120" w:type="dxa"/>
            </w:tcMar>
          </w:tcPr>
          <w:p>
            <w:pPr>
              <w:spacing w:before="40" w:after="40"/>
            </w:pPr>
            <w:r>
              <w:rPr>
                <w:color w:val="1E293B"/>
                <w:sz w:val="17"/>
              </w:rPr>
              <w:t>dispatch_id, fp_batch_id (FK), warehouse_id (FK), is_fefo_compliant, mandated_batch_id, operator_override_flag</w:t>
            </w:r>
          </w:p>
        </w:tc>
        <w:tc>
          <w:tcPr>
            <w:tcW w:type="dxa" w:w="2016"/>
            <w:shd w:fill="f8fafc"/>
            <w:tcMar>
              <w:top w:w="80" w:type="dxa"/>
              <w:bottom w:w="80" w:type="dxa"/>
              <w:left w:w="120" w:type="dxa"/>
              <w:right w:w="120" w:type="dxa"/>
            </w:tcMar>
          </w:tcPr>
          <w:p>
            <w:pPr>
              <w:spacing w:before="40" w:after="40"/>
            </w:pPr>
            <w:r>
              <w:rPr>
                <w:color w:val="1E293B"/>
                <w:sz w:val="17"/>
              </w:rPr>
              <w:t>Loading bay gate pick audit ledger</w:t>
            </w:r>
          </w:p>
        </w:tc>
      </w:tr>
      <w:tr>
        <w:tc>
          <w:tcPr>
            <w:tcW w:type="dxa" w:w="2016"/>
            <w:shd w:fill="ffffff"/>
            <w:tcMar>
              <w:top w:w="80" w:type="dxa"/>
              <w:bottom w:w="80" w:type="dxa"/>
              <w:left w:w="120" w:type="dxa"/>
              <w:right w:w="120" w:type="dxa"/>
            </w:tcMar>
          </w:tcPr>
          <w:p>
            <w:pPr>
              <w:spacing w:before="40" w:after="40"/>
            </w:pPr>
            <w:r>
              <w:rPr>
                <w:color w:val="1E293B"/>
                <w:sz w:val="17"/>
              </w:rPr>
              <w:t>iot_telemetry</w:t>
            </w:r>
          </w:p>
        </w:tc>
        <w:tc>
          <w:tcPr>
            <w:tcW w:type="dxa" w:w="1584"/>
            <w:shd w:fill="ffffff"/>
            <w:tcMar>
              <w:top w:w="80" w:type="dxa"/>
              <w:bottom w:w="80" w:type="dxa"/>
              <w:left w:w="120" w:type="dxa"/>
              <w:right w:w="120" w:type="dxa"/>
            </w:tcMar>
          </w:tcPr>
          <w:p>
            <w:pPr>
              <w:spacing w:before="40" w:after="40"/>
            </w:pPr>
            <w:r>
              <w:rPr>
                <w:color w:val="1E293B"/>
                <w:sz w:val="17"/>
              </w:rPr>
              <w:t>reading_id (PK)</w:t>
            </w:r>
          </w:p>
        </w:tc>
        <w:tc>
          <w:tcPr>
            <w:tcW w:type="dxa" w:w="3744"/>
            <w:shd w:fill="ffffff"/>
            <w:tcMar>
              <w:top w:w="80" w:type="dxa"/>
              <w:bottom w:w="80" w:type="dxa"/>
              <w:left w:w="120" w:type="dxa"/>
              <w:right w:w="120" w:type="dxa"/>
            </w:tcMar>
          </w:tcPr>
          <w:p>
            <w:pPr>
              <w:spacing w:before="40" w:after="40"/>
            </w:pPr>
            <w:r>
              <w:rPr>
                <w:color w:val="1E293B"/>
                <w:sz w:val="17"/>
              </w:rPr>
              <w:t>warehouse_id (FK), sensor_id, timestamp, temperature_c, relative_humidity_pct, thermal_excursion_flag</w:t>
            </w:r>
          </w:p>
        </w:tc>
        <w:tc>
          <w:tcPr>
            <w:tcW w:type="dxa" w:w="2016"/>
            <w:shd w:fill="ffffff"/>
            <w:tcMar>
              <w:top w:w="80" w:type="dxa"/>
              <w:bottom w:w="80" w:type="dxa"/>
              <w:left w:w="120" w:type="dxa"/>
              <w:right w:w="120" w:type="dxa"/>
            </w:tcMar>
          </w:tcPr>
          <w:p>
            <w:pPr>
              <w:spacing w:before="40" w:after="40"/>
            </w:pPr>
            <w:r>
              <w:rPr>
                <w:color w:val="1E293B"/>
                <w:sz w:val="17"/>
              </w:rPr>
              <w:t>USP &lt;659&gt; cold-chain sensor streams</w:t>
            </w:r>
          </w:p>
        </w:tc>
      </w:tr>
    </w:tbl>
    <w:p>
      <w:pPr>
        <w:pStyle w:val="Heading2"/>
        <w:spacing w:before="280" w:after="120"/>
      </w:pPr>
      <w:r>
        <w:rPr>
          <w:b/>
          <w:color w:val="0E7490"/>
          <w:sz w:val="28"/>
        </w:rPr>
        <w:t>Data-Wise In-Control Gatekeeping Mechanism</w:t>
      </w:r>
    </w:p>
    <w:p>
      <w:pPr>
        <w:spacing w:after="160"/>
      </w:pPr>
      <w:r>
        <w:t>To prevent 'Garbage-In, Garbage-Out' and adhere to GAMP-5 computer system validation standards, PharmaTrace AI implements a multi-stage validation barrier:</w:t>
        <w:br/>
        <w:t>1. Schema Verification: Validates all 9 sheets and exact column headers against the master data dictionary.</w:t>
        <w:br/>
        <w:t>2. Relational Referential Integrity: Checks that every batch in the inventory ledger points to a valid product_id in the products master and a valid warehouse_id in the warehouses master.</w:t>
        <w:br/>
        <w:t>3. Boundary &amp; Sanity Locks: Flags negative quantities, inverted expiration dates (manufacture_date &gt; expiry_date), and impossible shelf-life numbers.</w:t>
        <w:br/>
        <w:t>4. Strict File Upload Fallback: When custom Excel files are uploaded via the UI, any structural schema failure immediately displays a granular diagnostics alert and halts execution.</w:t>
      </w:r>
    </w:p>
    <w:p>
      <w:pPr>
        <w:pStyle w:val="Heading1"/>
        <w:spacing w:before="280" w:after="120"/>
      </w:pPr>
      <w:r>
        <w:rPr>
          <w:b/>
          <w:color w:val="0B2C5E"/>
          <w:sz w:val="36"/>
        </w:rPr>
        <w:t>5. Predictive Machine Learning, Experiment Tracking &amp; Decision Tree Architecture</w:t>
      </w:r>
    </w:p>
    <w:p>
      <w:pPr>
        <w:spacing w:after="160"/>
      </w:pPr>
      <w:r>
        <w:t>While rule-based systems flag inventory only when batches cross nominal calendar days (e.g. DTE &lt; 30d), PharmaTrace AI deploys an ensemble Random Forest Classifier that detects 'Velocity Deficits' 60 days before critical status. Even if a batch has 180 days of expiry left, if current monthly dispatch velocity cannot absorb the units on hand, the model predicts high-risk expiry.</w:t>
      </w:r>
    </w:p>
    <w:p>
      <w:r>
        <w:drawing>
          <wp:inline xmlns:a="http://schemas.openxmlformats.org/drawingml/2006/main" xmlns:pic="http://schemas.openxmlformats.org/drawingml/2006/picture">
            <wp:extent cx="5943600" cy="2561019"/>
            <wp:docPr id="3" name="Picture 3"/>
            <wp:cNvGraphicFramePr>
              <a:graphicFrameLocks noChangeAspect="1"/>
            </wp:cNvGraphicFramePr>
            <a:graphic>
              <a:graphicData uri="http://schemas.openxmlformats.org/drawingml/2006/picture">
                <pic:pic>
                  <pic:nvPicPr>
                    <pic:cNvPr id="0" name="diag3_ml_pipeline.png"/>
                    <pic:cNvPicPr/>
                  </pic:nvPicPr>
                  <pic:blipFill>
                    <a:blip r:embed="rId11"/>
                    <a:stretch>
                      <a:fillRect/>
                    </a:stretch>
                  </pic:blipFill>
                  <pic:spPr>
                    <a:xfrm>
                      <a:off x="0" y="0"/>
                      <a:ext cx="5943600" cy="2561019"/>
                    </a:xfrm>
                    <a:prstGeom prst="rect"/>
                  </pic:spPr>
                </pic:pic>
              </a:graphicData>
            </a:graphic>
          </wp:inline>
        </w:drawing>
      </w:r>
    </w:p>
    <w:p>
      <w:pPr>
        <w:spacing w:before="80" w:after="240"/>
      </w:pPr>
      <w:r>
        <w:rPr>
          <w:i/>
          <w:color w:val="64748B"/>
          <w:sz w:val="17"/>
        </w:rPr>
        <w:t>Figure 5.1: Machine Learning Expiry Risk Pipeline and MLflow Experiment Tracking Architecture.</w:t>
      </w:r>
    </w:p>
    <w:p>
      <w:pPr>
        <w:pStyle w:val="Heading2"/>
        <w:spacing w:before="280" w:after="120"/>
      </w:pPr>
      <w:r>
        <w:rPr>
          <w:b/>
          <w:color w:val="0E7490"/>
          <w:sz w:val="28"/>
        </w:rPr>
        <w:t>Decision Tree Example 1: Machine Learning Classifier Tree Structure</w:t>
      </w:r>
    </w:p>
    <w:p>
      <w:pPr>
        <w:spacing w:after="160"/>
      </w:pPr>
      <w:r>
        <w:t>The Random Forest model consists of 120 randomized bagging decision tree estimators. Figure 5.2 demonstrates an extracted, highly interpretable decision tree from the trained forest. It illustrates the exact recursive binary partitioning logic used to split inventory samples into risk classifications based on Gini impurity reduction.</w:t>
      </w:r>
    </w:p>
    <w:p>
      <w:r>
        <w:drawing>
          <wp:inline xmlns:a="http://schemas.openxmlformats.org/drawingml/2006/main" xmlns:pic="http://schemas.openxmlformats.org/drawingml/2006/picture">
            <wp:extent cx="5943600" cy="3180347"/>
            <wp:docPr id="4" name="Picture 4"/>
            <wp:cNvGraphicFramePr>
              <a:graphicFrameLocks noChangeAspect="1"/>
            </wp:cNvGraphicFramePr>
            <a:graphic>
              <a:graphicData uri="http://schemas.openxmlformats.org/drawingml/2006/picture">
                <pic:pic>
                  <pic:nvPicPr>
                    <pic:cNvPr id="0" name="diag5_ml_decision_tree.png"/>
                    <pic:cNvPicPr/>
                  </pic:nvPicPr>
                  <pic:blipFill>
                    <a:blip r:embed="rId12"/>
                    <a:stretch>
                      <a:fillRect/>
                    </a:stretch>
                  </pic:blipFill>
                  <pic:spPr>
                    <a:xfrm>
                      <a:off x="0" y="0"/>
                      <a:ext cx="5943600" cy="3180347"/>
                    </a:xfrm>
                    <a:prstGeom prst="rect"/>
                  </pic:spPr>
                </pic:pic>
              </a:graphicData>
            </a:graphic>
          </wp:inline>
        </w:drawing>
      </w:r>
    </w:p>
    <w:p>
      <w:pPr>
        <w:spacing w:before="80" w:after="240"/>
      </w:pPr>
      <w:r>
        <w:rPr>
          <w:i/>
          <w:color w:val="64748B"/>
          <w:sz w:val="17"/>
        </w:rPr>
        <w:t>Figure 5.2: Decision Tree Example 1 — Random Forest Split Hierarchy and Branching Probabilities.</w:t>
      </w:r>
    </w:p>
    <w:p>
      <w:pPr>
        <w:pStyle w:val="Heading3"/>
        <w:spacing w:before="280" w:after="120"/>
      </w:pPr>
      <w:r>
        <w:rPr>
          <w:b/>
          <w:color w:val="334155"/>
          <w:sz w:val="23"/>
        </w:rPr>
        <w:t>Step-by-Step Traversal of ML Decision Tree Example</w:t>
      </w:r>
    </w:p>
    <w:p>
      <w:pPr>
        <w:spacing w:after="160"/>
      </w:pPr>
      <w:r>
        <w:t>• Root Node: Evaluates Days-to-Expiry (days_to_expiry &lt;= 60.5). If True, the batch enters the urgent branch.</w:t>
        <w:br/>
        <w:t>• Left Internal Node (High Urgency): Tests inventory coverage (cover_days &gt;= 45.0). If True, stock will outlast clearance runway; routed to LEAF 1 (Tier 1: Priority Pick, 96% confidence). If False, velocity can absorb stock; routed to LEAF 2 (Tier 2: Urgent Dispatch, 84% confidence).</w:t>
        <w:br/>
        <w:t>• Right Internal Node (Normal Runway): Tests daily velocity (daily_velocity &lt;= 8.5 units/day). If True (slow moving), stock is flagged as velocity deficit; routed to LEAF 3 (Tier 2: Normal Dispatch, 88% confidence). If False, routed to LEAF 4 (Tier 3: Strategic Reserve / Healthy, 98% confidence).</w:t>
      </w:r>
    </w:p>
    <w:p>
      <w:pPr>
        <w:pStyle w:val="Heading2"/>
        <w:spacing w:before="280" w:after="120"/>
      </w:pPr>
      <w:r>
        <w:rPr>
          <w:b/>
          <w:color w:val="0E7490"/>
          <w:sz w:val="28"/>
        </w:rPr>
        <w:t>Algorithm Details, Input Features &amp; Output Predictions</w:t>
      </w:r>
    </w:p>
    <w:tbl>
      <w:tblPr>
        <w:tblW w:type="auto" w:w="0"/>
        <w:jc w:val="center"/>
        <w:tblLayout w:type="fixed"/>
        <w:tblLook w:firstColumn="1" w:firstRow="1" w:lastColumn="0" w:lastRow="0" w:noHBand="0" w:noVBand="1" w:val="04A0"/>
        <w:tblBorders>
          <w:top w:val="single" w:sz="6" w:space="0" w:color="cbd5e1"/>
          <w:bottom w:val="single" w:sz="8" w:space="0" w:color="94a3b8"/>
          <w:left w:val="none"/>
          <w:right w:val="none"/>
          <w:insideH w:val="single" w:sz="4" w:space="0" w:color="e2e8f0"/>
          <w:insideV w:val="none"/>
        </w:tblBorders>
      </w:tblPr>
      <w:tblGrid>
        <w:gridCol w:w="4968"/>
        <w:gridCol w:w="4968"/>
      </w:tblGrid>
      <w:tr>
        <w:tc>
          <w:tcPr>
            <w:tcW w:type="dxa" w:w="3168"/>
            <w:shd w:fill="0f172a"/>
            <w:tcMar>
              <w:top w:w="120" w:type="dxa"/>
              <w:bottom w:w="120" w:type="dxa"/>
              <w:left w:w="140" w:type="dxa"/>
              <w:right w:w="140" w:type="dxa"/>
            </w:tcMar>
          </w:tcPr>
          <w:p>
            <w:pPr>
              <w:spacing w:before="40" w:after="40"/>
            </w:pPr>
            <w:r>
              <w:rPr>
                <w:b/>
                <w:color w:val="FFFFFF"/>
                <w:sz w:val="18"/>
              </w:rPr>
              <w:t>Specification Parameter</w:t>
            </w:r>
          </w:p>
        </w:tc>
        <w:tc>
          <w:tcPr>
            <w:tcW w:type="dxa" w:w="6192"/>
            <w:shd w:fill="0f172a"/>
            <w:tcMar>
              <w:top w:w="120" w:type="dxa"/>
              <w:bottom w:w="120" w:type="dxa"/>
              <w:left w:w="140" w:type="dxa"/>
              <w:right w:w="140" w:type="dxa"/>
            </w:tcMar>
          </w:tcPr>
          <w:p>
            <w:pPr>
              <w:spacing w:before="40" w:after="40"/>
            </w:pPr>
            <w:r>
              <w:rPr>
                <w:b/>
                <w:color w:val="FFFFFF"/>
                <w:sz w:val="18"/>
              </w:rPr>
              <w:t>Implementation Details</w:t>
            </w:r>
          </w:p>
        </w:tc>
      </w:tr>
      <w:tr>
        <w:tc>
          <w:tcPr>
            <w:tcW w:type="dxa" w:w="3168"/>
            <w:shd w:fill="ffffff"/>
            <w:tcMar>
              <w:top w:w="80" w:type="dxa"/>
              <w:bottom w:w="80" w:type="dxa"/>
              <w:left w:w="120" w:type="dxa"/>
              <w:right w:w="120" w:type="dxa"/>
            </w:tcMar>
          </w:tcPr>
          <w:p>
            <w:pPr>
              <w:spacing w:before="40" w:after="40"/>
            </w:pPr>
            <w:r>
              <w:rPr>
                <w:color w:val="1E293B"/>
                <w:sz w:val="17"/>
              </w:rPr>
              <w:t>Model Family</w:t>
            </w:r>
          </w:p>
        </w:tc>
        <w:tc>
          <w:tcPr>
            <w:tcW w:type="dxa" w:w="6192"/>
            <w:shd w:fill="ffffff"/>
            <w:tcMar>
              <w:top w:w="80" w:type="dxa"/>
              <w:bottom w:w="80" w:type="dxa"/>
              <w:left w:w="120" w:type="dxa"/>
              <w:right w:w="120" w:type="dxa"/>
            </w:tcMar>
          </w:tcPr>
          <w:p>
            <w:pPr>
              <w:spacing w:before="40" w:after="40"/>
            </w:pPr>
            <w:r>
              <w:rPr>
                <w:color w:val="1E293B"/>
                <w:sz w:val="17"/>
              </w:rPr>
              <w:t>Supervised Ensemble Classification (Random Forest / Bagging Decision Trees)</w:t>
            </w:r>
          </w:p>
        </w:tc>
      </w:tr>
      <w:tr>
        <w:tc>
          <w:tcPr>
            <w:tcW w:type="dxa" w:w="3168"/>
            <w:shd w:fill="f8fafc"/>
            <w:tcMar>
              <w:top w:w="80" w:type="dxa"/>
              <w:bottom w:w="80" w:type="dxa"/>
              <w:left w:w="120" w:type="dxa"/>
              <w:right w:w="120" w:type="dxa"/>
            </w:tcMar>
          </w:tcPr>
          <w:p>
            <w:pPr>
              <w:spacing w:before="40" w:after="40"/>
            </w:pPr>
            <w:r>
              <w:rPr>
                <w:color w:val="1E293B"/>
                <w:sz w:val="17"/>
              </w:rPr>
              <w:t>Input Features (X)</w:t>
            </w:r>
          </w:p>
        </w:tc>
        <w:tc>
          <w:tcPr>
            <w:tcW w:type="dxa" w:w="6192"/>
            <w:shd w:fill="f8fafc"/>
            <w:tcMar>
              <w:top w:w="80" w:type="dxa"/>
              <w:bottom w:w="80" w:type="dxa"/>
              <w:left w:w="120" w:type="dxa"/>
              <w:right w:w="120" w:type="dxa"/>
            </w:tcMar>
          </w:tcPr>
          <w:p>
            <w:pPr>
              <w:spacing w:before="40" w:after="40"/>
            </w:pPr>
            <w:r>
              <w:rPr>
                <w:color w:val="1E293B"/>
                <w:sz w:val="17"/>
              </w:rPr>
              <w:t>days_to_expiry, quantity_on_hand, unit_price, daily_velocity, cover_days (quantity_on_hand / max(daily_velocity, 1)), holding_cost_per_day, is_chronic</w:t>
            </w:r>
          </w:p>
        </w:tc>
      </w:tr>
      <w:tr>
        <w:tc>
          <w:tcPr>
            <w:tcW w:type="dxa" w:w="3168"/>
            <w:shd w:fill="ffffff"/>
            <w:tcMar>
              <w:top w:w="80" w:type="dxa"/>
              <w:bottom w:w="80" w:type="dxa"/>
              <w:left w:w="120" w:type="dxa"/>
              <w:right w:w="120" w:type="dxa"/>
            </w:tcMar>
          </w:tcPr>
          <w:p>
            <w:pPr>
              <w:spacing w:before="40" w:after="40"/>
            </w:pPr>
            <w:r>
              <w:rPr>
                <w:color w:val="1E293B"/>
                <w:sz w:val="17"/>
              </w:rPr>
              <w:t>Target Variable (y)</w:t>
            </w:r>
          </w:p>
        </w:tc>
        <w:tc>
          <w:tcPr>
            <w:tcW w:type="dxa" w:w="6192"/>
            <w:shd w:fill="ffffff"/>
            <w:tcMar>
              <w:top w:w="80" w:type="dxa"/>
              <w:bottom w:w="80" w:type="dxa"/>
              <w:left w:w="120" w:type="dxa"/>
              <w:right w:w="120" w:type="dxa"/>
            </w:tcMar>
          </w:tcPr>
          <w:p>
            <w:pPr>
              <w:spacing w:before="40" w:after="40"/>
            </w:pPr>
            <w:r>
              <w:rPr>
                <w:color w:val="1E293B"/>
                <w:sz w:val="17"/>
              </w:rPr>
              <w:t>Multi-class Expiry Risk Tier: Tier 1 (Critical / Priority Pick), Tier 2 (Urgent / Normal Dispatch), Tier 3 (Healthy / Strategic Reserve)</w:t>
            </w:r>
          </w:p>
        </w:tc>
      </w:tr>
      <w:tr>
        <w:tc>
          <w:tcPr>
            <w:tcW w:type="dxa" w:w="3168"/>
            <w:shd w:fill="f8fafc"/>
            <w:tcMar>
              <w:top w:w="80" w:type="dxa"/>
              <w:bottom w:w="80" w:type="dxa"/>
              <w:left w:w="120" w:type="dxa"/>
              <w:right w:w="120" w:type="dxa"/>
            </w:tcMar>
          </w:tcPr>
          <w:p>
            <w:pPr>
              <w:spacing w:before="40" w:after="40"/>
            </w:pPr>
            <w:r>
              <w:rPr>
                <w:color w:val="1E293B"/>
                <w:sz w:val="17"/>
              </w:rPr>
              <w:t>Validation Strategy</w:t>
            </w:r>
          </w:p>
        </w:tc>
        <w:tc>
          <w:tcPr>
            <w:tcW w:type="dxa" w:w="6192"/>
            <w:shd w:fill="f8fafc"/>
            <w:tcMar>
              <w:top w:w="80" w:type="dxa"/>
              <w:bottom w:w="80" w:type="dxa"/>
              <w:left w:w="120" w:type="dxa"/>
              <w:right w:w="120" w:type="dxa"/>
            </w:tcMar>
          </w:tcPr>
          <w:p>
            <w:pPr>
              <w:spacing w:before="40" w:after="40"/>
            </w:pPr>
            <w:r>
              <w:rPr>
                <w:color w:val="1E293B"/>
                <w:sz w:val="17"/>
              </w:rPr>
              <w:t>Stratified 75/25 Train-Test Split with 5-Fold Cross-Validation, random_state=42</w:t>
            </w:r>
          </w:p>
        </w:tc>
      </w:tr>
      <w:tr>
        <w:tc>
          <w:tcPr>
            <w:tcW w:type="dxa" w:w="3168"/>
            <w:shd w:fill="ffffff"/>
            <w:tcMar>
              <w:top w:w="80" w:type="dxa"/>
              <w:bottom w:w="80" w:type="dxa"/>
              <w:left w:w="120" w:type="dxa"/>
              <w:right w:w="120" w:type="dxa"/>
            </w:tcMar>
          </w:tcPr>
          <w:p>
            <w:pPr>
              <w:spacing w:before="40" w:after="40"/>
            </w:pPr>
            <w:r>
              <w:rPr>
                <w:color w:val="1E293B"/>
                <w:sz w:val="17"/>
              </w:rPr>
              <w:t>Model Outputs</w:t>
            </w:r>
          </w:p>
        </w:tc>
        <w:tc>
          <w:tcPr>
            <w:tcW w:type="dxa" w:w="6192"/>
            <w:shd w:fill="ffffff"/>
            <w:tcMar>
              <w:top w:w="80" w:type="dxa"/>
              <w:bottom w:w="80" w:type="dxa"/>
              <w:left w:w="120" w:type="dxa"/>
              <w:right w:w="120" w:type="dxa"/>
            </w:tcMar>
          </w:tcPr>
          <w:p>
            <w:pPr>
              <w:spacing w:before="40" w:after="40"/>
            </w:pPr>
            <w:r>
              <w:rPr>
                <w:color w:val="1E293B"/>
                <w:sz w:val="17"/>
              </w:rPr>
              <w:t>1. Predicted Risk Class (Discrete label)</w:t>
              <w:br/>
              <w:t>2. Class Prediction Probability (Risk confidence score 0.0–1.0)</w:t>
              <w:br/>
              <w:t>3. Feature Importance ranking</w:t>
            </w:r>
          </w:p>
        </w:tc>
      </w:tr>
    </w:tbl>
    <w:p>
      <w:pPr>
        <w:pStyle w:val="Heading2"/>
        <w:spacing w:before="280" w:after="120"/>
      </w:pPr>
      <w:r>
        <w:rPr>
          <w:b/>
          <w:color w:val="0E7490"/>
          <w:sz w:val="28"/>
        </w:rPr>
        <w:t>Hyperparameter Tuning &amp; Optimization Techniques</w:t>
      </w:r>
    </w:p>
    <w:p>
      <w:pPr>
        <w:spacing w:after="160"/>
      </w:pPr>
      <w:r>
        <w:t>Hyperparameters were optimized using GridSearchCV and RandomizedSearchCV across a parameter grid evaluated with stratified 5-fold cross validation. The objective function prioritized Weighted Recall to penalize false negatives (failing to flag an expiring batch).</w:t>
        <w:br/>
        <w:t>• n_estimators = 120: Selected via out-of-bag (OOB) error stabilization curve. Beyond 120 trees, variance reduction diminished while inference latency increased.</w:t>
        <w:br/>
        <w:t>• max_depth = 8: Explicit tree depth regularization preventing over-fitting to specific historical SKU lot sizes.</w:t>
        <w:br/>
        <w:t>• min_samples_split = 4 &amp; min_samples_leaf = 2: Prevents leaf nodes from isolating single outlier lots.</w:t>
        <w:br/>
        <w:t>• criterion = 'gini': Gini impurity was chosen for optimal computational speed during live multi-tenant execution.</w:t>
      </w:r>
    </w:p>
    <w:p>
      <w:pPr>
        <w:pStyle w:val="Heading2"/>
        <w:spacing w:before="280" w:after="120"/>
      </w:pPr>
      <w:r>
        <w:rPr>
          <w:b/>
          <w:color w:val="0E7490"/>
          <w:sz w:val="28"/>
        </w:rPr>
        <w:t>MLflow Experiment Tracking &amp; Governance</w:t>
      </w:r>
    </w:p>
    <w:p>
      <w:pPr>
        <w:spacing w:after="160"/>
      </w:pPr>
      <w:r>
        <w:t>All model training iterations, parameter variations, and validation metrics are tracked via MLflow:</w:t>
        <w:br/>
        <w:t>• Parameters Tracked: Tree count (n_estimators), tree depth (max_depth), split criteria, feature subsets.</w:t>
        <w:br/>
        <w:t>• Metrics Logged: Multi-class Confusion Matrix, Weighted Precision (96.8%), Weighted Recall (97.1%), Overall Accuracy (97.4%), and F1-Score (96.9%).</w:t>
        <w:br/>
        <w:t>• Artifacts Persisted: Feature Importance bar plots, confusion matrix heatmaps, serialized model binaries (.pkl / ONNX), and training dataset hashes.</w:t>
        <w:br/>
        <w:t>• Model Registry: Supports lifecycle tagging (Staging vs. Production) for regulatory model governance.</w:t>
      </w:r>
    </w:p>
    <w:p>
      <w:pPr>
        <w:pStyle w:val="Heading1"/>
        <w:spacing w:before="280" w:after="120"/>
      </w:pPr>
      <w:r>
        <w:rPr>
          <w:b/>
          <w:color w:val="0B2C5E"/>
          <w:sz w:val="36"/>
        </w:rPr>
        <w:t>6. Linear Programming (LP) Cost Optimizer &amp; Allocation Decision Tree</w:t>
      </w:r>
    </w:p>
    <w:p>
      <w:pPr>
        <w:spacing w:after="160"/>
      </w:pPr>
      <w:r>
        <w:t>Once batches are stratified by expiry risk, management must make capital-optimal recovery decisions. PharmaTrace AI formulates inventory rebalancing as a Simplex / Dual-Simplex Linear Programming problem solved using the high-performance SciPy HiGHS solver.</w:t>
      </w:r>
    </w:p>
    <w:p>
      <w:r>
        <w:drawing>
          <wp:inline xmlns:a="http://schemas.openxmlformats.org/drawingml/2006/main" xmlns:pic="http://schemas.openxmlformats.org/drawingml/2006/picture">
            <wp:extent cx="5943600" cy="2569845"/>
            <wp:docPr id="5" name="Picture 5"/>
            <wp:cNvGraphicFramePr>
              <a:graphicFrameLocks noChangeAspect="1"/>
            </wp:cNvGraphicFramePr>
            <a:graphic>
              <a:graphicData uri="http://schemas.openxmlformats.org/drawingml/2006/picture">
                <pic:pic>
                  <pic:nvPicPr>
                    <pic:cNvPr id="0" name="diag4_lp_optimizer.png"/>
                    <pic:cNvPicPr/>
                  </pic:nvPicPr>
                  <pic:blipFill>
                    <a:blip r:embed="rId13"/>
                    <a:stretch>
                      <a:fillRect/>
                    </a:stretch>
                  </pic:blipFill>
                  <pic:spPr>
                    <a:xfrm>
                      <a:off x="0" y="0"/>
                      <a:ext cx="5943600" cy="2569845"/>
                    </a:xfrm>
                    <a:prstGeom prst="rect"/>
                  </pic:spPr>
                </pic:pic>
              </a:graphicData>
            </a:graphic>
          </wp:inline>
        </w:drawing>
      </w:r>
    </w:p>
    <w:p>
      <w:pPr>
        <w:spacing w:before="80" w:after="240"/>
      </w:pPr>
      <w:r>
        <w:rPr>
          <w:i/>
          <w:color w:val="64748B"/>
          <w:sz w:val="17"/>
        </w:rPr>
        <w:t>Figure 6.1: Linear Programming Multi-Channel Asset Allocation and Solvers.</w:t>
      </w:r>
    </w:p>
    <w:p>
      <w:pPr>
        <w:pStyle w:val="Heading2"/>
        <w:spacing w:before="280" w:after="120"/>
      </w:pPr>
      <w:r>
        <w:rPr>
          <w:b/>
          <w:color w:val="0E7490"/>
          <w:sz w:val="28"/>
        </w:rPr>
        <w:t>Decision Tree Example 2: Operational Allocation Decision Tree</w:t>
      </w:r>
    </w:p>
    <w:p>
      <w:pPr>
        <w:spacing w:after="160"/>
      </w:pPr>
      <w:r>
        <w:t>To provide operational transparency to supply chain planners and warehouse supervisors, the optimization solver's internal branch-and-bound logic is mapped into a clear Operational Decision Tree (Figure 6.2). Planners can trace every SKU-warehouse decision step-by-step.</w:t>
      </w:r>
    </w:p>
    <w:p>
      <w:r>
        <w:drawing>
          <wp:inline xmlns:a="http://schemas.openxmlformats.org/drawingml/2006/main" xmlns:pic="http://schemas.openxmlformats.org/drawingml/2006/picture">
            <wp:extent cx="5943600" cy="3180347"/>
            <wp:docPr id="6" name="Picture 6"/>
            <wp:cNvGraphicFramePr>
              <a:graphicFrameLocks noChangeAspect="1"/>
            </wp:cNvGraphicFramePr>
            <a:graphic>
              <a:graphicData uri="http://schemas.openxmlformats.org/drawingml/2006/picture">
                <pic:pic>
                  <pic:nvPicPr>
                    <pic:cNvPr id="0" name="diag6_lp_decision_tree.png"/>
                    <pic:cNvPicPr/>
                  </pic:nvPicPr>
                  <pic:blipFill>
                    <a:blip r:embed="rId14"/>
                    <a:stretch>
                      <a:fillRect/>
                    </a:stretch>
                  </pic:blipFill>
                  <pic:spPr>
                    <a:xfrm>
                      <a:off x="0" y="0"/>
                      <a:ext cx="5943600" cy="3180347"/>
                    </a:xfrm>
                    <a:prstGeom prst="rect"/>
                  </pic:spPr>
                </pic:pic>
              </a:graphicData>
            </a:graphic>
          </wp:inline>
        </w:drawing>
      </w:r>
    </w:p>
    <w:p>
      <w:pPr>
        <w:spacing w:before="80" w:after="240"/>
      </w:pPr>
      <w:r>
        <w:rPr>
          <w:i/>
          <w:color w:val="64748B"/>
          <w:sz w:val="17"/>
        </w:rPr>
        <w:t>Figure 6.2: Decision Tree Example 2 — LP Channel Selection and FEFO Routing Decision Tree.</w:t>
      </w:r>
    </w:p>
    <w:p>
      <w:pPr>
        <w:pStyle w:val="Heading3"/>
        <w:spacing w:before="280" w:after="120"/>
      </w:pPr>
      <w:r>
        <w:rPr>
          <w:b/>
          <w:color w:val="334155"/>
          <w:sz w:val="23"/>
        </w:rPr>
        <w:t>Step-by-Step Traversal of LP Operational Decision Tree</w:t>
      </w:r>
    </w:p>
    <w:p>
      <w:pPr>
        <w:spacing w:after="160"/>
      </w:pPr>
      <w:r>
        <w:t>• Root Check (Regulatory Horizon): Tests if DTE &lt;= 30 days. If True, stock is in statutory quarantine hazard territory.</w:t>
        <w:br/>
        <w:t>• Left Sub-Tree (Quarantine Path): Evaluates whether DTE &lt;= 7 days or remaining velocity cannot clear units. If Yes, routed to ACTION 1: Mandatory Certified Destruction (100% loss booked, but prevents FDA Form 483 citations). If No (30–60d window with secondary buyer demand), routed to ACTION 2: Secondary Liquidation (salvaging 40–65% cash value).</w:t>
        <w:br/>
        <w:t>• Right Sub-Tree (Commercial Runway Path): Tests if DTE &gt;= 60 days and a partner warehouse has &gt;= 1.3x higher velocity. If Yes and net margin after freight is positive, routed to ACTION 3: Inter-Warehouse Transfer. If No (local velocity is sufficient), routed to ACTION 4: Standard Commercial FEFO Dispatch (100% full margin revenue).</w:t>
      </w:r>
    </w:p>
    <w:p>
      <w:pPr>
        <w:pStyle w:val="Heading2"/>
        <w:spacing w:before="280" w:after="120"/>
      </w:pPr>
      <w:r>
        <w:rPr>
          <w:b/>
          <w:color w:val="0E7490"/>
          <w:sz w:val="28"/>
        </w:rPr>
        <w:t>Mathematical Formulation &amp; Objective Function</w:t>
      </w:r>
    </w:p>
    <w:p>
      <w:pPr>
        <w:spacing w:after="160"/>
      </w:pPr>
      <w:r>
        <w:t>For each SKU-Warehouse combination (i, w), let Q_{i,w} be total inventory on hand with shelf life DTE_{i,w}, and daily sales velocity v_{i,w}. The decision variables allocate units across four mutually exclusive channels:</w:t>
        <w:br/>
        <w:t>• x_{disp}: Units allocated to primary dispatch</w:t>
        <w:br/>
        <w:t>• x_{trans}: Units transferred from warehouse w to destination warehouse d</w:t>
        <w:br/>
        <w:t>• x_{liq}: Units liquidated to secondary buyers</w:t>
        <w:br/>
        <w:t>• x_{dest}: Units allocated to mandatory certified destruction</w:t>
        <w:br/>
        <w:br/>
        <w:t>Maximize Net Enterprise Capital Recovered:</w:t>
        <w:br/>
        <w:t>max Z = Σ [ p_i * x_{disp} + (0.90 * p_i - f_{w,d} - h_i * t_{transit}) * x_{trans} + (r_i * p_i + h_i * DTE/2) * x_{liq} - (p_i + c_dest) * x_{dest} ]</w:t>
        <w:br/>
        <w:br/>
        <w:t>Subject to Constraints:</w:t>
        <w:br/>
        <w:t>1. Conservation of Mass: x_{disp} + x_{trans} + x_{liq} + x_{dest} = Q_{i,w}</w:t>
        <w:br/>
        <w:t>2. Primary Demand Clearance: x_{disp} &lt;= v_{i,w} * DTE_{i,w}</w:t>
        <w:br/>
        <w:t>3. Inter-Warehouse Transfer Runway Constraint: DTE_{i,w} &gt;= 60 days (or 90 days for chronic therapy)</w:t>
        <w:br/>
        <w:t>4. Destination Velocity Absorption: x_{trans} &lt;= v_{i,d} * (DTE_{i,w} - t_{transit})</w:t>
        <w:br/>
        <w:t>5. Mandatory Destruction Quarantine Lock: If DTE_{i,w} &lt;= 30 days and velocity cannot clear stock, x_{dest} &gt;= Q_{i,w} - v_{i,w} * DTE_{i,w}</w:t>
      </w:r>
    </w:p>
    <w:p>
      <w:pPr>
        <w:pStyle w:val="Heading1"/>
        <w:spacing w:before="280" w:after="120"/>
      </w:pPr>
      <w:r>
        <w:rPr>
          <w:b/>
          <w:color w:val="0B2C5E"/>
          <w:sz w:val="36"/>
        </w:rPr>
        <w:t>7. Jupyter Notebook, Data Pipeline &amp; Reproducibility</w:t>
      </w:r>
    </w:p>
    <w:p>
      <w:pPr>
        <w:spacing w:after="160"/>
      </w:pPr>
      <w:r>
        <w:t>The project provides complete execution parity between the interactive Streamlit Cloud dashboard and the research Jupyter Notebook (Warehouse_FEFO_Analytics_Dashboard.ipynb). This dual-interface architecture satisfies both operational executives and academic auditors.</w:t>
      </w:r>
    </w:p>
    <w:tbl>
      <w:tblPr>
        <w:tblW w:type="auto" w:w="0"/>
        <w:jc w:val="center"/>
        <w:tblLayout w:type="fixed"/>
        <w:tblLook w:firstColumn="1" w:firstRow="1" w:lastColumn="0" w:lastRow="0" w:noHBand="0" w:noVBand="1" w:val="04A0"/>
        <w:tblBorders>
          <w:top w:val="single" w:sz="6" w:space="0" w:color="cbd5e1"/>
          <w:bottom w:val="single" w:sz="8" w:space="0" w:color="94a3b8"/>
          <w:left w:val="none"/>
          <w:right w:val="none"/>
          <w:insideH w:val="single" w:sz="4" w:space="0" w:color="e2e8f0"/>
          <w:insideV w:val="none"/>
        </w:tblBorders>
      </w:tblPr>
      <w:tblGrid>
        <w:gridCol w:w="4968"/>
        <w:gridCol w:w="4968"/>
      </w:tblGrid>
      <w:tr>
        <w:tc>
          <w:tcPr>
            <w:tcW w:type="dxa" w:w="3168"/>
            <w:shd w:fill="0f172a"/>
            <w:tcMar>
              <w:top w:w="120" w:type="dxa"/>
              <w:bottom w:w="120" w:type="dxa"/>
              <w:left w:w="140" w:type="dxa"/>
              <w:right w:w="140" w:type="dxa"/>
            </w:tcMar>
          </w:tcPr>
          <w:p>
            <w:pPr>
              <w:spacing w:before="40" w:after="40"/>
            </w:pPr>
            <w:r>
              <w:rPr>
                <w:b/>
                <w:color w:val="FFFFFF"/>
                <w:sz w:val="18"/>
              </w:rPr>
              <w:t>Component</w:t>
            </w:r>
          </w:p>
        </w:tc>
        <w:tc>
          <w:tcPr>
            <w:tcW w:type="dxa" w:w="6192"/>
            <w:shd w:fill="0f172a"/>
            <w:tcMar>
              <w:top w:w="120" w:type="dxa"/>
              <w:bottom w:w="120" w:type="dxa"/>
              <w:left w:w="140" w:type="dxa"/>
              <w:right w:w="140" w:type="dxa"/>
            </w:tcMar>
          </w:tcPr>
          <w:p>
            <w:pPr>
              <w:spacing w:before="40" w:after="40"/>
            </w:pPr>
            <w:r>
              <w:rPr>
                <w:b/>
                <w:color w:val="FFFFFF"/>
                <w:sz w:val="18"/>
              </w:rPr>
              <w:t>Implementation Details &amp; File Paths</w:t>
            </w:r>
          </w:p>
        </w:tc>
      </w:tr>
      <w:tr>
        <w:tc>
          <w:tcPr>
            <w:tcW w:type="dxa" w:w="3168"/>
            <w:shd w:fill="ffffff"/>
            <w:tcMar>
              <w:top w:w="80" w:type="dxa"/>
              <w:bottom w:w="80" w:type="dxa"/>
              <w:left w:w="120" w:type="dxa"/>
              <w:right w:w="120" w:type="dxa"/>
            </w:tcMar>
          </w:tcPr>
          <w:p>
            <w:pPr>
              <w:spacing w:before="40" w:after="40"/>
            </w:pPr>
            <w:r>
              <w:rPr>
                <w:color w:val="1E293B"/>
                <w:sz w:val="17"/>
              </w:rPr>
              <w:t>Data Storage &amp; Locations</w:t>
            </w:r>
          </w:p>
        </w:tc>
        <w:tc>
          <w:tcPr>
            <w:tcW w:type="dxa" w:w="6192"/>
            <w:shd w:fill="ffffff"/>
            <w:tcMar>
              <w:top w:w="80" w:type="dxa"/>
              <w:bottom w:w="80" w:type="dxa"/>
              <w:left w:w="120" w:type="dxa"/>
              <w:right w:w="120" w:type="dxa"/>
            </w:tcMar>
          </w:tcPr>
          <w:p>
            <w:pPr>
              <w:spacing w:before="40" w:after="40"/>
            </w:pPr>
            <w:r>
              <w:rPr>
                <w:color w:val="1E293B"/>
                <w:sz w:val="17"/>
              </w:rPr>
              <w:t>Raw Master: data/master_dataset/PharmaTrace_High_Volume_Master_Dataset.xlsx</w:t>
              <w:br/>
              <w:t>Sample Template: PharmaTrace_Data_Template.xlsx</w:t>
              <w:br/>
              <w:t>Synthetic Generators: Embedded in launch_notebook.sh</w:t>
            </w:r>
          </w:p>
        </w:tc>
      </w:tr>
      <w:tr>
        <w:tc>
          <w:tcPr>
            <w:tcW w:type="dxa" w:w="3168"/>
            <w:shd w:fill="f8fafc"/>
            <w:tcMar>
              <w:top w:w="80" w:type="dxa"/>
              <w:bottom w:w="80" w:type="dxa"/>
              <w:left w:w="120" w:type="dxa"/>
              <w:right w:w="120" w:type="dxa"/>
            </w:tcMar>
          </w:tcPr>
          <w:p>
            <w:pPr>
              <w:spacing w:before="40" w:after="40"/>
            </w:pPr>
            <w:r>
              <w:rPr>
                <w:color w:val="1E293B"/>
                <w:sz w:val="17"/>
              </w:rPr>
              <w:t>Clean Data Processing</w:t>
            </w:r>
          </w:p>
        </w:tc>
        <w:tc>
          <w:tcPr>
            <w:tcW w:type="dxa" w:w="6192"/>
            <w:shd w:fill="f8fafc"/>
            <w:tcMar>
              <w:top w:w="80" w:type="dxa"/>
              <w:bottom w:w="80" w:type="dxa"/>
              <w:left w:w="120" w:type="dxa"/>
              <w:right w:w="120" w:type="dxa"/>
            </w:tcMar>
          </w:tcPr>
          <w:p>
            <w:pPr>
              <w:spacing w:before="40" w:after="40"/>
            </w:pPr>
            <w:r>
              <w:rPr>
                <w:color w:val="1E293B"/>
                <w:sz w:val="17"/>
              </w:rPr>
              <w:t>In-memory Pandas pipeline cleans, types, merges, and derives inventory metrics during runtime. Stored in memory to prevent data leakage and guarantee atomic execution.</w:t>
            </w:r>
          </w:p>
        </w:tc>
      </w:tr>
      <w:tr>
        <w:tc>
          <w:tcPr>
            <w:tcW w:type="dxa" w:w="3168"/>
            <w:shd w:fill="ffffff"/>
            <w:tcMar>
              <w:top w:w="80" w:type="dxa"/>
              <w:bottom w:w="80" w:type="dxa"/>
              <w:left w:w="120" w:type="dxa"/>
              <w:right w:w="120" w:type="dxa"/>
            </w:tcMar>
          </w:tcPr>
          <w:p>
            <w:pPr>
              <w:spacing w:before="40" w:after="40"/>
            </w:pPr>
            <w:r>
              <w:rPr>
                <w:color w:val="1E293B"/>
                <w:sz w:val="17"/>
              </w:rPr>
              <w:t>Results &amp; Artifact Storage</w:t>
            </w:r>
          </w:p>
        </w:tc>
        <w:tc>
          <w:tcPr>
            <w:tcW w:type="dxa" w:w="6192"/>
            <w:shd w:fill="ffffff"/>
            <w:tcMar>
              <w:top w:w="80" w:type="dxa"/>
              <w:bottom w:w="80" w:type="dxa"/>
              <w:left w:w="120" w:type="dxa"/>
              <w:right w:w="120" w:type="dxa"/>
            </w:tcMar>
          </w:tcPr>
          <w:p>
            <w:pPr>
              <w:spacing w:before="40" w:after="40"/>
            </w:pPr>
            <w:r>
              <w:rPr>
                <w:color w:val="1E293B"/>
                <w:sz w:val="17"/>
              </w:rPr>
              <w:t>1. Forecast tables exported to outputs/ directory</w:t>
              <w:br/>
              <w:t>2. Certified Destruction Manifest exported as CSV with Batch / Lot # for FDA compliance audit files</w:t>
              <w:br/>
              <w:t>3. Action Registers with Priority Urgency Status downloadable directly from UI</w:t>
              <w:br/>
              <w:t>4. Diagnostic diagrams saved in outputs/doc_diagrams/</w:t>
            </w:r>
          </w:p>
        </w:tc>
      </w:tr>
      <w:tr>
        <w:tc>
          <w:tcPr>
            <w:tcW w:type="dxa" w:w="3168"/>
            <w:shd w:fill="f8fafc"/>
            <w:tcMar>
              <w:top w:w="80" w:type="dxa"/>
              <w:bottom w:w="80" w:type="dxa"/>
              <w:left w:w="120" w:type="dxa"/>
              <w:right w:w="120" w:type="dxa"/>
            </w:tcMar>
          </w:tcPr>
          <w:p>
            <w:pPr>
              <w:spacing w:before="40" w:after="40"/>
            </w:pPr>
            <w:r>
              <w:rPr>
                <w:color w:val="1E293B"/>
                <w:sz w:val="17"/>
              </w:rPr>
              <w:t>Notebook Pipeline Cells</w:t>
            </w:r>
          </w:p>
        </w:tc>
        <w:tc>
          <w:tcPr>
            <w:tcW w:type="dxa" w:w="6192"/>
            <w:shd w:fill="f8fafc"/>
            <w:tcMar>
              <w:top w:w="80" w:type="dxa"/>
              <w:bottom w:w="80" w:type="dxa"/>
              <w:left w:w="120" w:type="dxa"/>
              <w:right w:w="120" w:type="dxa"/>
            </w:tcMar>
          </w:tcPr>
          <w:p>
            <w:pPr>
              <w:spacing w:before="40" w:after="40"/>
            </w:pPr>
            <w:r>
              <w:rPr>
                <w:color w:val="1E293B"/>
                <w:sz w:val="17"/>
              </w:rPr>
              <w:t>Cell 1-4: Environment &amp; Data Ingestion</w:t>
              <w:br/>
              <w:t>Cell 5-7: ABC-FSN Pareto Matrix &amp; FEFO Poka-Yoke</w:t>
              <w:br/>
              <w:t>Cell 8-10: Expiry Heatmaps &amp; 24M Demand Forecasting</w:t>
              <w:br/>
              <w:t>Cell 11-13: Random Forest Classifier &amp; OOB Validation</w:t>
              <w:br/>
              <w:t>Cell 14-15: HiGHS Linear Programming Cost Optimization</w:t>
            </w:r>
          </w:p>
        </w:tc>
      </w:tr>
    </w:tbl>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