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sz w:val="20"/>
        </w:rPr>
        <w:t>Engineering Knowledge Note — Project Cedar</w:t>
      </w:r>
    </w:p>
    <w:p>
      <w:r>
        <w:rPr>
          <w:rFonts w:ascii="Arial" w:hAnsi="Arial"/>
          <w:sz w:val="20"/>
        </w:rPr>
        <w:t>Synthetic test data for evaluating knowledge retrieval. All names, identifiers, and values are fictional.</w:t>
      </w:r>
    </w:p>
    <w:p>
      <w:pPr>
        <w:pStyle w:val="Heading1"/>
      </w:pPr>
      <w:r>
        <w:rPr>
          <w:rFonts w:ascii="Arial" w:hAnsi="Arial"/>
          <w:sz w:val="20"/>
        </w:rPr>
        <w:t>Service overview</w:t>
      </w:r>
    </w:p>
    <w:p>
      <w:r>
        <w:rPr>
          <w:rFonts w:ascii="Arial" w:hAnsi="Arial"/>
          <w:sz w:val="20"/>
        </w:rPr>
        <w:t>Beacon Relay receives instrument status events and forwards them to Cedar Hub. Its deployment unit is beacon-relay. Its health endpoint is /internal/healthz.</w:t>
      </w:r>
    </w:p>
    <w:p>
      <w:pPr>
        <w:pStyle w:val="Heading1"/>
      </w:pPr>
      <w:r>
        <w:rPr>
          <w:rFonts w:ascii="Arial" w:hAnsi="Arial"/>
          <w:sz w:val="20"/>
        </w:rPr>
        <w:t>Configuration</w:t>
      </w:r>
    </w:p>
    <w:p>
      <w:r>
        <w:rPr>
          <w:rFonts w:ascii="Arial" w:hAnsi="Arial"/>
          <w:sz w:val="20"/>
        </w:rPr>
        <w:t>CEDAR_RETRY_WINDOW sets how long Beacon Relay retries a failed publish. Its default is 42 seconds. The maximum retry count is 6. Changing CEDAR_RETRY_WINDOW does not change the retry count.</w:t>
      </w:r>
    </w:p>
    <w:p>
      <w:pPr>
        <w:pStyle w:val="Heading1"/>
      </w:pPr>
      <w:r>
        <w:rPr>
          <w:rFonts w:ascii="Arial" w:hAnsi="Arial"/>
          <w:sz w:val="20"/>
        </w:rPr>
        <w:t>Known issue CD-184</w:t>
      </w:r>
    </w:p>
    <w:p>
      <w:r>
        <w:rPr>
          <w:rFonts w:ascii="Arial" w:hAnsi="Arial"/>
          <w:sz w:val="20"/>
        </w:rPr>
        <w:t>CD-184 occurs when Cedar Hub returns HTTP 429 during a burst of status events. Beacon Relay waits 3 seconds before its first retry. The documented workaround is to reduce the event batch size to 18 messages. Restarting the service alone does not resolve the issue.</w:t>
      </w:r>
    </w:p>
    <w:p>
      <w:pPr>
        <w:pStyle w:val="Heading1"/>
      </w:pPr>
      <w:r>
        <w:rPr>
          <w:rFonts w:ascii="Arial" w:hAnsi="Arial"/>
          <w:sz w:val="20"/>
        </w:rPr>
        <w:t>Data retention</w:t>
      </w:r>
    </w:p>
    <w:p>
      <w:r>
        <w:rPr>
          <w:rFonts w:ascii="Arial" w:hAnsi="Arial"/>
          <w:sz w:val="20"/>
        </w:rPr>
        <w:t>Cedar Hub retains accepted status-event records for 11 days. Rejected events are written to cedar-rejects.log and retained for 4 days. The quarantine file is not uploaded automatically.</w:t>
      </w:r>
    </w:p>
    <w:p>
      <w:pPr>
        <w:pStyle w:val="Heading1"/>
      </w:pPr>
      <w:r>
        <w:rPr>
          <w:rFonts w:ascii="Arial" w:hAnsi="Arial"/>
          <w:sz w:val="20"/>
        </w:rPr>
        <w:t>Release and ownership</w:t>
      </w:r>
    </w:p>
    <w:p>
      <w:r>
        <w:rPr>
          <w:rFonts w:ascii="Arial" w:hAnsi="Arial"/>
          <w:sz w:val="20"/>
        </w:rPr>
        <w:t>Release tags use cedar-rel-YYYY.NN. Before deployment, verify /internal/healthz and confirm that the quarantine-file size is below 12 MB. The rollback artifact is stored at artifacts/cedar/rollback/. Platform Enablement owns Cedar Hub; Runtime Integrations owns Beacon Relay and is the primary resolver for CD-184.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