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line="360"/>
      </w:pPr>
      <w:r>
        <w:rPr>
          <w:rFonts w:ascii="Times New Roman" w:cs="Times New Roman" w:eastAsia="Times New Roman" w:hAnsi="Times New Roman"/>
          <w:b/>
          <w:bCs/>
          <w:sz w:val="28"/>
          <w:szCs w:val="28"/>
        </w:rPr>
        <w:t xml:space="preserve">PROJECT TITLE</w:t>
      </w:r>
    </w:p>
    <w:p>
      <w:pPr>
        <w:spacing w:after="160" w:line="360"/>
      </w:pPr>
      <w:r>
        <w:rPr>
          <w:rFonts w:ascii="Times New Roman" w:cs="Times New Roman" w:eastAsia="Times New Roman" w:hAnsi="Times New Roman"/>
          <w:b/>
          <w:bCs/>
          <w:sz w:val="24"/>
          <w:szCs w:val="24"/>
        </w:rPr>
        <w:t xml:space="preserve">Development of a Treatment Process for Potable Water Production Using Ceramic Membrane Filtration</w:t>
      </w:r>
    </w:p>
    <w:p>
      <w:pPr>
        <w:pStyle w:val="Heading2"/>
        <w:keepNext/>
        <w:spacing w:after="80" w:before="16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Safe drinking water remains out of reach for 2.2 billion people (WHO/UNICEF, 2023). Ceramic membranes offer chemical stability and long life, but evidence on materials, fouling, hybrid designs and contaminants is fragmented (Fu et al., 2024; Jarrar et al., 2024). This project will compare published performance and sustainability data to build a decision framework for ceramic membrane treatment trains. It uses a desk-based design with systematic screening and structured extraction (Page et al., 2021). The expected outcome is an evidence-based selection guide that supports Sustainable Development Goal 6 at no cost.</w:t>
      </w:r>
    </w:p>
    <w:p>
      <w:pPr>
        <w:pStyle w:val="Heading1"/>
        <w:keepNext/>
        <w:spacing w:after="120" w:before="240" w:line="360"/>
      </w:pPr>
      <w:r>
        <w:rPr>
          <w:rFonts w:ascii="Times New Roman" w:cs="Times New Roman" w:eastAsia="Times New Roman" w:hAnsi="Times New Roman"/>
          <w:b/>
          <w:bCs/>
          <w:sz w:val="28"/>
          <w:szCs w:val="28"/>
        </w:rPr>
        <w:t xml:space="preserve">AIMS</w:t>
      </w:r>
    </w:p>
    <w:p>
      <w:pPr>
        <w:pStyle w:val="ListParagraph"/>
        <w:numPr>
          <w:ilvl w:val="0"/>
          <w:numId w:val="2"/>
        </w:numPr>
        <w:spacing w:after="80" w:line="360"/>
      </w:pPr>
      <w:r>
        <w:rPr>
          <w:rFonts w:ascii="Times New Roman" w:cs="Times New Roman" w:eastAsia="Times New Roman" w:hAnsi="Times New Roman"/>
          <w:sz w:val="24"/>
          <w:szCs w:val="24"/>
        </w:rPr>
        <w:t xml:space="preserve">To compare ceramic membrane materials and fabrication routes by strength, pore structure, cost and removal performance.</w:t>
      </w:r>
    </w:p>
    <w:p>
      <w:pPr>
        <w:pStyle w:val="ListParagraph"/>
        <w:numPr>
          <w:ilvl w:val="0"/>
          <w:numId w:val="2"/>
        </w:numPr>
        <w:spacing w:after="80" w:line="360"/>
      </w:pPr>
      <w:r>
        <w:rPr>
          <w:rFonts w:ascii="Times New Roman" w:cs="Times New Roman" w:eastAsia="Times New Roman" w:hAnsi="Times New Roman"/>
          <w:sz w:val="24"/>
          <w:szCs w:val="24"/>
        </w:rPr>
        <w:t xml:space="preserve">To evaluate fouling-control methods and hybrid configurations by reported flux, cleaning demand and contaminant removal.</w:t>
      </w:r>
    </w:p>
    <w:p>
      <w:pPr>
        <w:pStyle w:val="ListParagraph"/>
        <w:numPr>
          <w:ilvl w:val="0"/>
          <w:numId w:val="2"/>
        </w:numPr>
        <w:spacing w:after="80" w:line="360"/>
      </w:pPr>
      <w:r>
        <w:rPr>
          <w:rFonts w:ascii="Times New Roman" w:cs="Times New Roman" w:eastAsia="Times New Roman" w:hAnsi="Times New Roman"/>
          <w:sz w:val="24"/>
          <w:szCs w:val="24"/>
        </w:rPr>
        <w:t xml:space="preserve">To assess removal of heavy metals, arsenic, PFAS, microplastics and pathogens, and map where evidence is weak.</w:t>
      </w:r>
    </w:p>
    <w:p>
      <w:pPr>
        <w:pStyle w:val="ListParagraph"/>
        <w:numPr>
          <w:ilvl w:val="0"/>
          <w:numId w:val="2"/>
        </w:numPr>
        <w:spacing w:after="80" w:line="360"/>
      </w:pPr>
      <w:r>
        <w:rPr>
          <w:rFonts w:ascii="Times New Roman" w:cs="Times New Roman" w:eastAsia="Times New Roman" w:hAnsi="Times New Roman"/>
          <w:sz w:val="24"/>
          <w:szCs w:val="24"/>
        </w:rPr>
        <w:t xml:space="preserve">To develop a decision framework that selects a ceramic membrane treatment train using performance, cost and sustainability criteria.</w:t>
      </w:r>
    </w:p>
    <w:p>
      <w:pPr>
        <w:pStyle w:val="Heading1"/>
        <w:keepNext/>
        <w:spacing w:after="120" w:before="240" w:line="360"/>
      </w:pPr>
      <w:r>
        <w:rPr>
          <w:rFonts w:ascii="Times New Roman" w:cs="Times New Roman" w:eastAsia="Times New Roman" w:hAnsi="Times New Roman"/>
          <w:b/>
          <w:bCs/>
          <w:sz w:val="28"/>
          <w:szCs w:val="28"/>
        </w:rPr>
        <w:t xml:space="preserve">RESEARCH QUESTIONS</w:t>
      </w:r>
    </w:p>
    <w:p>
      <w:pPr>
        <w:spacing w:after="120" w:line="360"/>
        <w:jc w:val="both"/>
      </w:pPr>
      <w:r>
        <w:rPr>
          <w:rFonts w:ascii="Times New Roman" w:cs="Times New Roman" w:eastAsia="Times New Roman" w:hAnsi="Times New Roman"/>
          <w:sz w:val="24"/>
          <w:szCs w:val="24"/>
        </w:rPr>
        <w:t xml:space="preserve">Three research questions address these aims, and each links to one or more aims.</w:t>
      </w:r>
    </w:p>
    <w:p>
      <w:pPr>
        <w:spacing w:after="100" w:line="36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Which ceramic membrane materials give the best balance of strength, cost and removal performance for potable water? (Aims 1 and 3)</w:t>
      </w:r>
    </w:p>
    <w:p>
      <w:pPr>
        <w:spacing w:after="100" w:line="36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Which fouling-control methods and hybrid configurations most improve flux stability and contaminant removal? (Aims 2 and 3)</w:t>
      </w:r>
    </w:p>
    <w:p>
      <w:pPr>
        <w:spacing w:after="100" w:line="36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How do the sustainability and cost indicators of ceramic membrane treatment trains compare with polymeric and conventional options? (Aim 4)</w:t>
      </w:r>
    </w:p>
    <w:p>
      <w:pPr>
        <w:pStyle w:val="Heading1"/>
        <w:keepNext/>
        <w:spacing w:after="120" w:before="240" w:line="360"/>
      </w:pPr>
      <w:r>
        <w:rPr>
          <w:rFonts w:ascii="Times New Roman" w:cs="Times New Roman" w:eastAsia="Times New Roman" w:hAnsi="Times New Roman"/>
          <w:b/>
          <w:bCs/>
          <w:sz w:val="28"/>
          <w:szCs w:val="28"/>
        </w:rPr>
        <w:t xml:space="preserve">BACKGROUND</w:t>
      </w:r>
    </w:p>
    <w:p>
      <w:pPr>
        <w:shd w:fill="FDECEA" w:color="auto" w:val="clear"/>
        <w:spacing w:after="160" w:before="120" w:line="360"/>
        <w:jc w:val="center"/>
      </w:pPr>
      <w:r>
        <w:rPr>
          <w:rFonts w:ascii="Times New Roman" w:cs="Times New Roman" w:eastAsia="Times New Roman" w:hAnsi="Times New Roman"/>
          <w:b/>
          <w:bCs/>
          <w:color w:val="C8553D"/>
          <w:sz w:val="22"/>
          <w:szCs w:val="22"/>
        </w:rPr>
        <w:t xml:space="preserve">[INSERT YOUR PREVIOUSLY MARKED LITERATURE REVIEW HERE AS AN IMAGE. It is not counted in the word limit. Delete this box after inserting.]</w:t>
      </w:r>
    </w:p>
    <w:p>
      <w:pPr>
        <w:spacing w:after="120" w:line="360"/>
        <w:jc w:val="both"/>
      </w:pPr>
      <w:r>
        <w:rPr>
          <w:rFonts w:ascii="Times New Roman" w:cs="Times New Roman" w:eastAsia="Times New Roman" w:hAnsi="Times New Roman"/>
          <w:sz w:val="24"/>
          <w:szCs w:val="24"/>
        </w:rPr>
        <w:t xml:space="preserve">Access to safe drinking water remains limited in many parts of the world. In 2022, 2.2 billion people lacked safely managed drinking water, and global coverage was only 73 per cent (WHO/UNICEF, 2023). Membrane processes increasingly complement coagulation, sedimentation and sand filtration (Jarrar et al., 2024). Ceramic membranes attract interest because they offer chemical and thermal stability, low fouling and long working life (Hosseinzadeh et al., 2025). Full-scale plants operate in several countries and appear economically competitive over the long term (Akash et al., 2024). Hosseinzadeh et al. (2025) found that ceramic membranes used fewer chemicals and produced less waste and CO₂ than conventional treatment.</w:t>
      </w:r>
    </w:p>
    <w:p>
      <w:pPr>
        <w:spacing w:after="120" w:line="360"/>
        <w:jc w:val="both"/>
      </w:pPr>
      <w:r>
        <w:rPr>
          <w:rFonts w:ascii="Times New Roman" w:cs="Times New Roman" w:eastAsia="Times New Roman" w:hAnsi="Times New Roman"/>
          <w:sz w:val="24"/>
          <w:szCs w:val="24"/>
        </w:rPr>
        <w:t xml:space="preserve">Material choice strongly shapes the strength, cost and performance of ceramic membranes. Alumina is the most common commercial option because of its strength and low cost (Jarrar et al., 2024). Zirconia, however, resists acidic conditions better than alumina does (Jarrar et al., 2024). Clay and waste-based supports reach flexural strengths of 25 to 40 MPa (Bahrouni et al., 2025) and up to 20 MPa (El Azizi et al., 2025). However, lower cost may reduce mechanical integrity and pore uniformity (Fu et al., 2024). A polymer coating on a ceramic support removed over 97% of heavy metals from agricultural drainage water (Azzam et al., 2025).</w:t>
      </w:r>
    </w:p>
    <w:p>
      <w:pPr>
        <w:spacing w:after="120" w:line="360"/>
        <w:jc w:val="both"/>
      </w:pPr>
      <w:r>
        <w:rPr>
          <w:rFonts w:ascii="Times New Roman" w:cs="Times New Roman" w:eastAsia="Times New Roman" w:hAnsi="Times New Roman"/>
          <w:sz w:val="24"/>
          <w:szCs w:val="24"/>
        </w:rPr>
        <w:t xml:space="preserve">Fouling remains the main operating problem because it raises energy use and lowers flux (Cai et al., 2023). Ozonation can make cake layers more reversible and reduce cleaning frequency (Xie et al., 2024). Conductive ceramic membranes may limit fouling and degrade pollutants, but large-scale stability is unproven (Lin et al., 2024). Oxidation combined with ceramic filtration alters foulant–membrane interactions at the molecular level (Lin et al., 2025). Ceramic–nanofiltration hybrids removed more dissolved organic carbon and divalent ions than nanofiltration alone (Xie et al., 2025). Ceramic membranes also serve desalination pretreatment, oily-water treatment, membrane distillation and wastewater bioenergy systems (Ahmad et al., 2025; Al Bahri et al., 2025; Alessandro &amp; Macedonio, 2025; Zhang et al., 2025).</w:t>
      </w:r>
    </w:p>
    <w:p>
      <w:pPr>
        <w:spacing w:after="120" w:line="360"/>
        <w:jc w:val="both"/>
      </w:pPr>
      <w:r>
        <w:rPr>
          <w:rFonts w:ascii="Times New Roman" w:cs="Times New Roman" w:eastAsia="Times New Roman" w:hAnsi="Times New Roman"/>
          <w:sz w:val="24"/>
          <w:szCs w:val="24"/>
        </w:rPr>
        <w:t xml:space="preserve">Removal performance varies considerably with the type of target contaminant treated. Nanofiltration membranes reject multivalent metals well, but results for monovalent ions are more variable (Covaliu-Mierlă et al., 2023). Arsenic removal varies strongly with feedwater pH and the presence of coexisting ions (Ab Hamid et al., 2024; Dashtban Kenari et al., 2025). Conventional ceramic membranes took up little PFAS, yet an iron-based membrane removed about 99% of PFOA in one pass (Chen et al., 2025). Alumina membranes removed 72 to 82 per cent of cosmetic microplastic alternatives (Kim et al., 2025). Virus rejection varied with transmembrane pressure, fouling condition and the pretreatment plan used (Ahmadi et al., 2025). Waste-based and natural ceramic membranes also removed organic dyes from industrial wastewater (Malebadi et al., 2025). A systematic review for WHO guidance found ceramic log-reduction data scarcer than for granular media filtration (Burke et al., 2025).</w:t>
      </w:r>
    </w:p>
    <w:p>
      <w:pPr>
        <w:spacing w:after="120" w:line="360"/>
        <w:jc w:val="both"/>
      </w:pPr>
      <w:r>
        <w:rPr>
          <w:rFonts w:ascii="Times New Roman" w:cs="Times New Roman" w:eastAsia="Times New Roman" w:hAnsi="Times New Roman"/>
          <w:sz w:val="24"/>
          <w:szCs w:val="24"/>
        </w:rPr>
        <w:t xml:space="preserve">Existing studies usually test one material, foulant or contaminant, often at bench scale. Evidence is therefore fragmented across materials, fouling control, contaminant classes and sustainability. My literature review found no integrated comparison linking these factors to treatment-train selection for potable water. This gap matters because utilities need defensible choices, and Sustainable Development Goal 6 targets safe, affordable drinking water (United Nations, 2015). Figure 1 shows the conceptual framework that guides the project design.</w:t>
      </w:r>
    </w:p>
    <w:p>
      <w:pPr>
        <w:keepNext/>
        <w:spacing w:after="0" w:before="120" w:line="276"/>
      </w:pPr>
      <w:r>
        <w:rPr>
          <w:rFonts w:ascii="Times New Roman" w:cs="Times New Roman" w:eastAsia="Times New Roman" w:hAnsi="Times New Roman"/>
          <w:b/>
          <w:bCs/>
          <w:sz w:val="22"/>
          <w:szCs w:val="22"/>
        </w:rPr>
        <w:t xml:space="preserve">Figure 1</w:t>
      </w:r>
    </w:p>
    <w:p>
      <w:pPr>
        <w:keepNext/>
        <w:spacing w:after="80" w:line="276"/>
      </w:pPr>
      <w:r>
        <w:rPr>
          <w:rFonts w:ascii="Times New Roman" w:cs="Times New Roman" w:eastAsia="Times New Roman" w:hAnsi="Times New Roman"/>
          <w:i/>
          <w:iCs/>
          <w:sz w:val="22"/>
          <w:szCs w:val="22"/>
        </w:rPr>
        <w:t xml:space="preserve">Conceptual Framework for Selecting a Ceramic Membrane Treatment Train</w:t>
      </w:r>
    </w:p>
    <w:p>
      <w:pPr>
        <w:keepNext/>
        <w:spacing w:after="60"/>
        <w:jc w:val="center"/>
      </w:pPr>
      <w:r>
        <w:drawing>
          <wp:inline distT="0" distB="0" distL="0" distR="0">
            <wp:extent cx="5334000" cy="1685925"/>
            <wp:effectExtent t="0" r="0" b="0" l="0"/>
            <wp:docPr id="1" name="fig/fig1.png" descr="fig/fig1.png" title="fig/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685925"/>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Author's synthesis based on Cai et al. (2023), Hosseinzadeh et al. (2025) and Jarrar et al. (2024). RQ = research question.</w:t>
      </w:r>
    </w:p>
    <w:p>
      <w:pPr>
        <w:spacing w:after="120" w:line="360"/>
        <w:jc w:val="both"/>
      </w:pPr>
      <w:r>
        <w:rPr>
          <w:rFonts w:ascii="Times New Roman" w:cs="Times New Roman" w:eastAsia="Times New Roman" w:hAnsi="Times New Roman"/>
          <w:sz w:val="24"/>
          <w:szCs w:val="24"/>
        </w:rPr>
        <w:t xml:space="preserve">The task is to synthesise published data into a consistent comparison. The suggested strategy is structured, transparent screening and extraction (Page et al., 2021).</w:t>
      </w:r>
    </w:p>
    <w:p>
      <w:pPr>
        <w:pStyle w:val="Heading1"/>
        <w:keepNext/>
        <w:spacing w:after="120" w:before="240" w:line="360"/>
      </w:pPr>
      <w:r>
        <w:rPr>
          <w:rFonts w:ascii="Times New Roman" w:cs="Times New Roman" w:eastAsia="Times New Roman" w:hAnsi="Times New Roman"/>
          <w:b/>
          <w:bCs/>
          <w:sz w:val="28"/>
          <w:szCs w:val="28"/>
        </w:rPr>
        <w:t xml:space="preserve">RESEARCH PROJECT</w:t>
      </w:r>
    </w:p>
    <w:p>
      <w:pPr>
        <w:pStyle w:val="Heading2"/>
        <w:keepNext/>
        <w:spacing w:after="80" w:before="160" w:line="360"/>
      </w:pPr>
      <w:r>
        <w:rPr>
          <w:rFonts w:ascii="Times New Roman" w:cs="Times New Roman" w:eastAsia="Times New Roman" w:hAnsi="Times New Roman"/>
          <w:b/>
          <w:bCs/>
          <w:sz w:val="24"/>
          <w:szCs w:val="24"/>
        </w:rPr>
        <w:t xml:space="preserve">Materials and Methods</w:t>
      </w:r>
    </w:p>
    <w:p>
      <w:pPr>
        <w:spacing w:after="120" w:line="360"/>
        <w:jc w:val="both"/>
      </w:pPr>
      <w:r>
        <w:rPr>
          <w:rFonts w:ascii="Times New Roman" w:cs="Times New Roman" w:eastAsia="Times New Roman" w:hAnsi="Times New Roman"/>
          <w:sz w:val="24"/>
          <w:szCs w:val="24"/>
        </w:rPr>
        <w:t xml:space="preserve">This project uses a desk-based comparative evaluation of published secondary data, so no laboratory work is needed. The design suits the aims because many experiments already exist, and the gap lies in comparing them consistently. Figure 2 summarises the workflow from literature search to decision framework.</w:t>
      </w:r>
    </w:p>
    <w:p>
      <w:pPr>
        <w:keepNext/>
        <w:spacing w:after="0" w:before="120" w:line="276"/>
      </w:pPr>
      <w:r>
        <w:rPr>
          <w:rFonts w:ascii="Times New Roman" w:cs="Times New Roman" w:eastAsia="Times New Roman" w:hAnsi="Times New Roman"/>
          <w:b/>
          <w:bCs/>
          <w:sz w:val="22"/>
          <w:szCs w:val="22"/>
        </w:rPr>
        <w:t xml:space="preserve">Figure 2</w:t>
      </w:r>
    </w:p>
    <w:p>
      <w:pPr>
        <w:keepNext/>
        <w:spacing w:after="80" w:line="276"/>
      </w:pPr>
      <w:r>
        <w:rPr>
          <w:rFonts w:ascii="Times New Roman" w:cs="Times New Roman" w:eastAsia="Times New Roman" w:hAnsi="Times New Roman"/>
          <w:i/>
          <w:iCs/>
          <w:sz w:val="22"/>
          <w:szCs w:val="22"/>
        </w:rPr>
        <w:t xml:space="preserve">Workflow of the Desk-Based Comparative Evaluation</w:t>
      </w:r>
    </w:p>
    <w:p>
      <w:pPr>
        <w:keepNext/>
        <w:spacing w:after="60"/>
        <w:jc w:val="center"/>
      </w:pPr>
      <w:r>
        <w:drawing>
          <wp:inline distT="0" distB="0" distL="0" distR="0">
            <wp:extent cx="5334000" cy="1524000"/>
            <wp:effectExtent t="0" r="0" b="0" l="0"/>
            <wp:docPr id="1" name="fig/fig2.png" descr="fig/fig2.png" title="fig/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24000"/>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Screening and reporting follow Page et al. (2021).</w:t>
      </w:r>
    </w:p>
    <w:p>
      <w:pPr>
        <w:spacing w:after="120" w:line="360"/>
        <w:jc w:val="both"/>
      </w:pPr>
      <w:r>
        <w:rPr>
          <w:rFonts w:ascii="Times New Roman" w:cs="Times New Roman" w:eastAsia="Times New Roman" w:hAnsi="Times New Roman"/>
          <w:sz w:val="24"/>
          <w:szCs w:val="24"/>
        </w:rPr>
        <w:t xml:space="preserve">Data sources are peer-reviewed articles from 2020 onwards, found through databases such as Scopus and Web of Science. The WHO/UNICEF (2023) report will also supply the global drinking water access data. Records are included if they study ceramic membranes for water treatment. They must also report quantitative data on flux, rejection, fouling, strength, energy, cost or life-cycle impact. Opinion pieces, non-English papers and duplicate records are excluded from the review. Screening and reporting will follow the PRISMA 2020 statement (Page et al., 2021).</w:t>
      </w:r>
    </w:p>
    <w:p>
      <w:pPr>
        <w:spacing w:after="120" w:line="360"/>
        <w:jc w:val="both"/>
      </w:pPr>
      <w:r>
        <w:rPr>
          <w:rFonts w:ascii="Times New Roman" w:cs="Times New Roman" w:eastAsia="Times New Roman" w:hAnsi="Times New Roman"/>
          <w:sz w:val="24"/>
          <w:szCs w:val="24"/>
        </w:rPr>
        <w:t xml:space="preserve">Data will be extracted into a standard matrix recording material, pore size, feed water and operating pressure. The matrix will also record test scale, flux, rejection, fouling control and cost indicators. Values will be converted to common units for fair comparison across studies. Bench-scale results will be kept separate from pilot and full-scale results. Comparison tables and narrative synthesis will answer research questions 1 and 2.</w:t>
      </w:r>
    </w:p>
    <w:p>
      <w:pPr>
        <w:spacing w:after="120" w:line="360"/>
        <w:jc w:val="both"/>
      </w:pPr>
      <w:r>
        <w:rPr>
          <w:rFonts w:ascii="Times New Roman" w:cs="Times New Roman" w:eastAsia="Times New Roman" w:hAnsi="Times New Roman"/>
          <w:sz w:val="24"/>
          <w:szCs w:val="24"/>
        </w:rPr>
        <w:t xml:space="preserve">For research question 3, a scoring matrix will rate each configuration on removal, fouling control, strength, cost and sustainability. The matrix draws on the five factors in Figure 1, so each research question maps to a clear analysis step. Criterion weights will be varied in a sensitivity test, to show whether rankings stay stable. To check accuracy, I will re-extract 10% of records after one week and compare the results.</w:t>
      </w:r>
    </w:p>
    <w:p>
      <w:pPr>
        <w:spacing w:after="120" w:line="360"/>
        <w:jc w:val="both"/>
      </w:pPr>
      <w:r>
        <w:rPr>
          <w:rFonts w:ascii="Times New Roman" w:cs="Times New Roman" w:eastAsia="Times New Roman" w:hAnsi="Times New Roman"/>
          <w:sz w:val="24"/>
          <w:szCs w:val="24"/>
        </w:rPr>
        <w:t xml:space="preserve">Test conditions differ between studies, and positive results are published more often. Conclusions will therefore be graded by evidence strength and scale. Only published sources are used and no people or animals are involved. Ethics approval is therefore not expected, and I will confirm this with my supervisor.</w:t>
      </w:r>
    </w:p>
    <w:p>
      <w:pPr>
        <w:pStyle w:val="Heading2"/>
        <w:keepNext/>
        <w:spacing w:after="80" w:before="160" w:line="360"/>
      </w:pPr>
      <w:r>
        <w:rPr>
          <w:rFonts w:ascii="Times New Roman" w:cs="Times New Roman" w:eastAsia="Times New Roman" w:hAnsi="Times New Roman"/>
          <w:b/>
          <w:bCs/>
          <w:sz w:val="24"/>
          <w:szCs w:val="24"/>
        </w:rPr>
        <w:t xml:space="preserve">Expected Outcomes</w:t>
      </w:r>
    </w:p>
    <w:p>
      <w:pPr>
        <w:spacing w:after="120" w:line="360"/>
        <w:jc w:val="both"/>
      </w:pPr>
      <w:r>
        <w:rPr>
          <w:rFonts w:ascii="Times New Roman" w:cs="Times New Roman" w:eastAsia="Times New Roman" w:hAnsi="Times New Roman"/>
          <w:sz w:val="24"/>
          <w:szCs w:val="24"/>
        </w:rPr>
        <w:t xml:space="preserve">Four deliverables are expected: an extraction database, comparison tables, an evidence-gap map and a decision framework. These outcomes are anticipated, so they are expectations rather than established findings. I expect hybrid configurations to outperform standalone ceramic membranes for organic carbon and divalent ions (Xie et al., 2025). I expect waste-based membranes to be cheaper but more variable (Fu et al., 2024). I expect the largest evidence gaps for PFAS, microplastics and viruses at full scale (Burke et al., 2025; Chen et al., 2025). The framework will pair each source-water type and priority contaminant with a recommended treatment train. Any evidence that contradicts these expectations will be reported openly.</w:t>
      </w:r>
    </w:p>
    <w:p>
      <w:pPr>
        <w:pStyle w:val="Heading2"/>
        <w:keepNext/>
        <w:spacing w:after="80" w:before="160" w:line="360"/>
      </w:pPr>
      <w:r>
        <w:rPr>
          <w:rFonts w:ascii="Times New Roman" w:cs="Times New Roman" w:eastAsia="Times New Roman" w:hAnsi="Times New Roman"/>
          <w:b/>
          <w:bCs/>
          <w:sz w:val="24"/>
          <w:szCs w:val="24"/>
        </w:rPr>
        <w:t xml:space="preserve">Benefits</w:t>
      </w:r>
    </w:p>
    <w:p>
      <w:pPr>
        <w:spacing w:after="120" w:line="360"/>
        <w:jc w:val="both"/>
      </w:pPr>
      <w:r>
        <w:rPr>
          <w:rFonts w:ascii="Times New Roman" w:cs="Times New Roman" w:eastAsia="Times New Roman" w:hAnsi="Times New Roman"/>
          <w:sz w:val="24"/>
          <w:szCs w:val="24"/>
        </w:rPr>
        <w:t xml:space="preserve">Utilities and engineers would gain a clear guide for selecting ceramic membrane treatment trains. Researchers would gain a prioritised map of evidence gaps for emerging contaminants. Communities lacking safe water may benefit indirectly, because better technology choices support affordable supply (WHO/UNICEF, 2023). Regulators may use the evidence summary when judging future guidance, as WHO reviews already do (Burke et al., 2025).</w:t>
      </w:r>
    </w:p>
    <w:p>
      <w:pPr>
        <w:pStyle w:val="Heading2"/>
        <w:keepNext/>
        <w:spacing w:after="80" w:before="160" w:line="360"/>
      </w:pPr>
      <w:r>
        <w:rPr>
          <w:rFonts w:ascii="Times New Roman" w:cs="Times New Roman" w:eastAsia="Times New Roman" w:hAnsi="Times New Roman"/>
          <w:b/>
          <w:bCs/>
          <w:sz w:val="24"/>
          <w:szCs w:val="24"/>
        </w:rPr>
        <w:t xml:space="preserve">Significance and Innovation</w:t>
      </w:r>
    </w:p>
    <w:p>
      <w:pPr>
        <w:spacing w:after="120" w:line="360"/>
        <w:jc w:val="both"/>
      </w:pPr>
      <w:r>
        <w:rPr>
          <w:rFonts w:ascii="Times New Roman" w:cs="Times New Roman" w:eastAsia="Times New Roman" w:hAnsi="Times New Roman"/>
          <w:sz w:val="24"/>
          <w:szCs w:val="24"/>
        </w:rPr>
        <w:t xml:space="preserve">The project is innovative because it integrates materials, fouling control, contaminant removal and sustainability in one framework. Existing reviews tend to treat these factors separately rather than together (Cai et al., 2023; Hosseinzadeh et al., 2025). Its sustainability criteria draw on evidence that ceramic membranes may use fewer chemicals and last longer (Hosseinzadeh et al., 2025). The expected outcome therefore directly supports Sustainable Development Goal 6 (United Nations, 2015).</w:t>
      </w:r>
    </w:p>
    <w:p>
      <w:pPr>
        <w:pStyle w:val="Heading1"/>
        <w:keepNext/>
        <w:spacing w:after="120" w:before="240" w:line="360"/>
      </w:pPr>
      <w:r>
        <w:rPr>
          <w:rFonts w:ascii="Times New Roman" w:cs="Times New Roman" w:eastAsia="Times New Roman" w:hAnsi="Times New Roman"/>
          <w:b/>
          <w:bCs/>
          <w:sz w:val="28"/>
          <w:szCs w:val="28"/>
        </w:rPr>
        <w:t xml:space="preserve">ROLE OF PERSONNEL</w:t>
      </w:r>
    </w:p>
    <w:p>
      <w:pPr>
        <w:spacing w:after="120" w:line="360"/>
        <w:jc w:val="both"/>
      </w:pPr>
      <w:r>
        <w:rPr>
          <w:rFonts w:ascii="Times New Roman" w:cs="Times New Roman" w:eastAsia="Times New Roman" w:hAnsi="Times New Roman"/>
          <w:sz w:val="24"/>
          <w:szCs w:val="24"/>
        </w:rPr>
        <w:t xml:space="preserve">The study needs three roles, and Table 1 summarises their responsibilities and time.</w:t>
      </w:r>
    </w:p>
    <w:p>
      <w:pPr>
        <w:keepNext/>
        <w:spacing w:after="0" w:before="120" w:line="276"/>
      </w:pPr>
      <w:r>
        <w:rPr>
          <w:rFonts w:ascii="Times New Roman" w:cs="Times New Roman" w:eastAsia="Times New Roman" w:hAnsi="Times New Roman"/>
          <w:b/>
          <w:bCs/>
          <w:sz w:val="22"/>
          <w:szCs w:val="22"/>
        </w:rPr>
        <w:t xml:space="preserve">Table 1</w:t>
      </w:r>
    </w:p>
    <w:p>
      <w:pPr>
        <w:keepNext/>
        <w:spacing w:after="80" w:line="276"/>
      </w:pPr>
      <w:r>
        <w:rPr>
          <w:rFonts w:ascii="Times New Roman" w:cs="Times New Roman" w:eastAsia="Times New Roman" w:hAnsi="Times New Roman"/>
          <w:i/>
          <w:iCs/>
          <w:sz w:val="22"/>
          <w:szCs w:val="22"/>
        </w:rPr>
        <w:t xml:space="preserve">Personnel, Responsibilities and Duration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cantSplit/>
          <w:tblHeader/>
        </w:trPr>
        <w:tc>
          <w:tcPr>
            <w:tcW w:type="dxa" w:w="22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Role</w:t>
            </w:r>
          </w:p>
        </w:tc>
        <w:tc>
          <w:tcPr>
            <w:tcW w:type="dxa" w:w="46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Responsibilities</w:t>
            </w:r>
          </w:p>
        </w:tc>
        <w:tc>
          <w:tcPr>
            <w:tcW w:type="dxa" w:w="2226"/>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Duration</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researcher</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Designs the protocol; searches, screens and extracts data; builds the framework; writes the report</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6 weeks, about 25 hours per week</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Supervisor</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Reviews the protocol, scoring matrix and draft; confirms ethics status</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12 hours in total</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Librarian (optional)</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Advises on database access and search strategy</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3 hours in Weeks 1–2</w:t>
            </w:r>
          </w:p>
        </w:tc>
      </w:tr>
    </w:tbl>
    <w:p>
      <w:pPr>
        <w:spacing w:after="120"/>
      </w:pPr>
    </w:p>
    <w:p>
      <w:pPr>
        <w:pStyle w:val="Heading1"/>
        <w:keepNext/>
        <w:spacing w:after="120" w:before="240" w:line="360"/>
      </w:pPr>
      <w:r>
        <w:rPr>
          <w:rFonts w:ascii="Times New Roman" w:cs="Times New Roman" w:eastAsia="Times New Roman" w:hAnsi="Times New Roman"/>
          <w:b/>
          <w:bCs/>
          <w:sz w:val="28"/>
          <w:szCs w:val="28"/>
        </w:rPr>
        <w:t xml:space="preserve">BUDGET</w:t>
      </w:r>
    </w:p>
    <w:p>
      <w:pPr>
        <w:spacing w:after="120" w:line="360"/>
        <w:jc w:val="both"/>
      </w:pPr>
      <w:r>
        <w:rPr>
          <w:rFonts w:ascii="Times New Roman" w:cs="Times New Roman" w:eastAsia="Times New Roman" w:hAnsi="Times New Roman"/>
          <w:sz w:val="24"/>
          <w:szCs w:val="24"/>
        </w:rPr>
        <w:t xml:space="preserve">No funds are requested, because the study uses published data and existing university resources.</w:t>
      </w:r>
    </w:p>
    <w:p>
      <w:pPr>
        <w:keepNext/>
        <w:spacing w:after="0" w:before="120" w:line="276"/>
      </w:pPr>
      <w:r>
        <w:rPr>
          <w:rFonts w:ascii="Times New Roman" w:cs="Times New Roman" w:eastAsia="Times New Roman" w:hAnsi="Times New Roman"/>
          <w:b/>
          <w:bCs/>
          <w:sz w:val="22"/>
          <w:szCs w:val="22"/>
        </w:rPr>
        <w:t xml:space="preserve">Table 2</w:t>
      </w:r>
    </w:p>
    <w:p>
      <w:pPr>
        <w:keepNext/>
        <w:spacing w:after="80" w:line="276"/>
      </w:pPr>
      <w:r>
        <w:rPr>
          <w:rFonts w:ascii="Times New Roman" w:cs="Times New Roman" w:eastAsia="Times New Roman" w:hAnsi="Times New Roman"/>
          <w:i/>
          <w:iCs/>
          <w:sz w:val="22"/>
          <w:szCs w:val="22"/>
        </w:rPr>
        <w:t xml:space="preserve">Proposed Budget (All Costs in Dollars)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cantSplit/>
          <w:tblHeader/>
        </w:trPr>
        <w:tc>
          <w:tcPr>
            <w:tcW w:type="dxa" w:w="22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Item</w:t>
            </w:r>
          </w:p>
        </w:tc>
        <w:tc>
          <w:tcPr>
            <w:tcW w:type="dxa" w:w="5000"/>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Detail</w:t>
            </w:r>
          </w:p>
        </w:tc>
        <w:tc>
          <w:tcPr>
            <w:tcW w:type="dxa" w:w="1826"/>
            <w:tcBorders>
              <w:top w:val="single" w:color="999999" w:sz="4"/>
              <w:left w:val="single" w:color="999999" w:sz="4"/>
              <w:bottom w:val="single" w:color="999999" w:sz="4"/>
              <w:right w:val="single" w:color="999999" w:sz="4"/>
            </w:tcBorders>
            <w:shd w:fill="D9E7EA"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Cost ($)</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Student researcher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150 hours of coursework time</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Supervisor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12 hours within normal supervision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Librarian</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About 3 hours of university service</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Database access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Existing university subscriptions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Software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Free reference manager and existing spreadsheet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Computer and storage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Existing equipment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Laboratory consumables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None required for a desk-based design</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0</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Total</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Overall project cost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0</w:t>
            </w:r>
          </w:p>
        </w:tc>
      </w:tr>
    </w:tbl>
    <w:p>
      <w:pPr>
        <w:spacing w:after="80"/>
      </w:pPr>
    </w:p>
    <w:p>
      <w:pPr>
        <w:spacing w:after="120" w:line="360"/>
        <w:jc w:val="both"/>
      </w:pPr>
      <w:r>
        <w:rPr>
          <w:rFonts w:ascii="Times New Roman" w:cs="Times New Roman" w:eastAsia="Times New Roman" w:hAnsi="Times New Roman"/>
          <w:sz w:val="24"/>
          <w:szCs w:val="24"/>
        </w:rPr>
        <w:t xml:space="preserve">Time is the main input, and it is shown in hours rather than dollars. Every item uses an existing resource, so the overall budget is zero.</w:t>
      </w:r>
    </w:p>
    <w:p>
      <w:pPr>
        <w:pStyle w:val="Heading1"/>
        <w:keepNext/>
        <w:spacing w:after="120" w:before="240" w:line="360"/>
      </w:pPr>
      <w:r>
        <w:rPr>
          <w:rFonts w:ascii="Times New Roman" w:cs="Times New Roman" w:eastAsia="Times New Roman" w:hAnsi="Times New Roman"/>
          <w:b/>
          <w:bCs/>
          <w:sz w:val="28"/>
          <w:szCs w:val="28"/>
        </w:rPr>
        <w:t xml:space="preserve">TIMEFRAME</w:t>
      </w:r>
    </w:p>
    <w:p>
      <w:pPr>
        <w:spacing w:after="120" w:line="360"/>
        <w:jc w:val="both"/>
      </w:pPr>
      <w:r>
        <w:rPr>
          <w:rFonts w:ascii="Times New Roman" w:cs="Times New Roman" w:eastAsia="Times New Roman" w:hAnsi="Times New Roman"/>
          <w:sz w:val="24"/>
          <w:szCs w:val="24"/>
        </w:rPr>
        <w:t xml:space="preserve">The project runs for six weeks, as Figure 3 shows. Weeks 1 and 2 cover the protocol and screening, and Weeks 2 and 3 cover extraction. Comparison, scoring and the sensitivity test follow in Weeks 3 to 5. Week 6 covers report writing, referencing, and final submission of the proposal. The scope is realistic because it covers only published studies from 2020 onwards. One researcher can screen and extract these studies within the six-week period.</w:t>
      </w:r>
    </w:p>
    <w:p>
      <w:pPr>
        <w:keepNext/>
        <w:spacing w:after="0" w:before="120" w:line="276"/>
      </w:pPr>
      <w:r>
        <w:rPr>
          <w:rFonts w:ascii="Times New Roman" w:cs="Times New Roman" w:eastAsia="Times New Roman" w:hAnsi="Times New Roman"/>
          <w:b/>
          <w:bCs/>
          <w:sz w:val="22"/>
          <w:szCs w:val="22"/>
        </w:rPr>
        <w:t xml:space="preserve">Figure 3</w:t>
      </w:r>
    </w:p>
    <w:p>
      <w:pPr>
        <w:keepNext/>
        <w:spacing w:after="80" w:line="276"/>
      </w:pPr>
      <w:r>
        <w:rPr>
          <w:rFonts w:ascii="Times New Roman" w:cs="Times New Roman" w:eastAsia="Times New Roman" w:hAnsi="Times New Roman"/>
          <w:i/>
          <w:iCs/>
          <w:sz w:val="22"/>
          <w:szCs w:val="22"/>
        </w:rPr>
        <w:t xml:space="preserve">Six-Week Gantt Chart</w:t>
      </w:r>
    </w:p>
    <w:p>
      <w:pPr>
        <w:keepNext/>
        <w:spacing w:after="60"/>
        <w:jc w:val="center"/>
      </w:pPr>
      <w:r>
        <w:drawing>
          <wp:inline distT="0" distB="0" distL="0" distR="0">
            <wp:extent cx="5524500" cy="1800225"/>
            <wp:effectExtent t="0" r="0" b="0" l="0"/>
            <wp:docPr id="1" name="fig/fig3.png" descr="fig/fig3.png" title="fig/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0225"/>
                    </a:xfrm>
                    <a:prstGeom prst="rect">
                      <a:avLst/>
                    </a:prstGeom>
                  </pic:spPr>
                </pic:pic>
              </a:graphicData>
            </a:graphic>
          </wp:inline>
        </w:drawing>
      </w:r>
    </w:p>
    <w:p>
      <w:pPr>
        <w:spacing w:after="160" w:line="276"/>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The amber bar marks the final reporting stage.</w:t>
      </w:r>
    </w:p>
    <w:p>
      <w:pPr>
        <w:pStyle w:val="Heading1"/>
        <w:keepNext/>
        <w:spacing w:after="120" w:before="240" w:line="360"/>
      </w:pPr>
      <w:r>
        <w:rPr>
          <w:rFonts w:ascii="Times New Roman" w:cs="Times New Roman" w:eastAsia="Times New Roman" w:hAnsi="Times New Roman"/>
          <w:b/>
          <w:bCs/>
          <w:sz w:val="28"/>
          <w:szCs w:val="28"/>
        </w:rPr>
        <w:t xml:space="preserve">REFERENCES</w:t>
      </w:r>
    </w:p>
    <w:p>
      <w:pPr>
        <w:spacing w:after="100" w:line="360"/>
        <w:ind w:left="720" w:hanging="720"/>
      </w:pPr>
      <w:r>
        <w:rPr>
          <w:rFonts w:ascii="Times New Roman" w:cs="Times New Roman" w:eastAsia="Times New Roman" w:hAnsi="Times New Roman"/>
          <w:sz w:val="24"/>
          <w:szCs w:val="24"/>
        </w:rPr>
        <w:t xml:space="preserve">Ab Hamid, N. H., Rushdan, A. I., Nordin, A. H., Norrrahim, M. N. F., Muhamad, S. N. H., Mohd Tahir, M. I. H., Rosli, N. S. B., Mohd Pakrudin, N. H., Roslee, A. S., Muhammad Asyraf, M. R., &amp; Knight, V. F. (2024). A review: The state-of-the-art of arsenic removal in wastewater. </w:t>
      </w:r>
      <w:r>
        <w:rPr>
          <w:rFonts w:ascii="Times New Roman" w:cs="Times New Roman" w:eastAsia="Times New Roman" w:hAnsi="Times New Roman"/>
          <w:i/>
          <w:iCs/>
          <w:sz w:val="24"/>
          <w:szCs w:val="24"/>
        </w:rPr>
        <w:t xml:space="preserve">Water Reuse, 14</w:t>
      </w:r>
      <w:r>
        <w:rPr>
          <w:rFonts w:ascii="Times New Roman" w:cs="Times New Roman" w:eastAsia="Times New Roman" w:hAnsi="Times New Roman"/>
          <w:sz w:val="24"/>
          <w:szCs w:val="24"/>
        </w:rPr>
        <w:t xml:space="preserve">(3), 279–311. https://doi.org/10.2166/wrd.2024.142</w:t>
      </w:r>
    </w:p>
    <w:p>
      <w:pPr>
        <w:spacing w:after="100" w:line="360"/>
        <w:ind w:left="720" w:hanging="720"/>
      </w:pPr>
      <w:r>
        <w:rPr>
          <w:rFonts w:ascii="Times New Roman" w:cs="Times New Roman" w:eastAsia="Times New Roman" w:hAnsi="Times New Roman"/>
          <w:sz w:val="24"/>
          <w:szCs w:val="24"/>
        </w:rPr>
        <w:t xml:space="preserve">Ahmad, S. T., Ahmad, R., Shaukat, H., Rout, P. R., Fazal, T., &amp; Dumfort, A. (2025). Bioenergy production from wastewater using cost-effective ceramic membranes: A review. </w:t>
      </w:r>
      <w:r>
        <w:rPr>
          <w:rFonts w:ascii="Times New Roman" w:cs="Times New Roman" w:eastAsia="Times New Roman" w:hAnsi="Times New Roman"/>
          <w:i/>
          <w:iCs/>
          <w:sz w:val="24"/>
          <w:szCs w:val="24"/>
        </w:rPr>
        <w:t xml:space="preserve">Environmental Chemistry Letters</w:t>
      </w:r>
      <w:r>
        <w:rPr>
          <w:rFonts w:ascii="Times New Roman" w:cs="Times New Roman" w:eastAsia="Times New Roman" w:hAnsi="Times New Roman"/>
          <w:sz w:val="24"/>
          <w:szCs w:val="24"/>
        </w:rPr>
        <w:t xml:space="preserve">. https://doi.org/10.1007/s10311-025-01822-x</w:t>
      </w:r>
    </w:p>
    <w:p>
      <w:pPr>
        <w:spacing w:after="100" w:line="360"/>
        <w:ind w:left="720" w:hanging="720"/>
      </w:pPr>
      <w:r>
        <w:rPr>
          <w:rFonts w:ascii="Times New Roman" w:cs="Times New Roman" w:eastAsia="Times New Roman" w:hAnsi="Times New Roman"/>
          <w:sz w:val="24"/>
          <w:szCs w:val="24"/>
        </w:rPr>
        <w:t xml:space="preserve">Ahmadi, J., Ho, J., Gigla, P. H., Hübner, U., Tiehm, A., &amp; Drewes, J. E. (2025). Rejection of viruses and mobile genetic elements by ceramic ultrafiltration membranes: Impacts of operational conditions and implications for water reuse system performance validation. </w:t>
      </w:r>
      <w:r>
        <w:rPr>
          <w:rFonts w:ascii="Times New Roman" w:cs="Times New Roman" w:eastAsia="Times New Roman" w:hAnsi="Times New Roman"/>
          <w:i/>
          <w:iCs/>
          <w:sz w:val="24"/>
          <w:szCs w:val="24"/>
        </w:rPr>
        <w:t xml:space="preserve">Water Reuse, 15</w:t>
      </w:r>
      <w:r>
        <w:rPr>
          <w:rFonts w:ascii="Times New Roman" w:cs="Times New Roman" w:eastAsia="Times New Roman" w:hAnsi="Times New Roman"/>
          <w:sz w:val="24"/>
          <w:szCs w:val="24"/>
        </w:rPr>
        <w:t xml:space="preserve">(3), 557–574. https://doi.org/10.2166/wrd.2025.054</w:t>
      </w:r>
    </w:p>
    <w:p>
      <w:pPr>
        <w:spacing w:after="100" w:line="360"/>
        <w:ind w:left="720" w:hanging="720"/>
      </w:pPr>
      <w:r>
        <w:rPr>
          <w:rFonts w:ascii="Times New Roman" w:cs="Times New Roman" w:eastAsia="Times New Roman" w:hAnsi="Times New Roman"/>
          <w:sz w:val="24"/>
          <w:szCs w:val="24"/>
        </w:rPr>
        <w:t xml:space="preserve">Akash, F. A., Shovon, S. M., Rahman, W., Rahman, M. A., Chakraborty, P., Prasetya, T. A. E., &amp; Monir, M. U. (2024). Advancements in ceramic membrane technology for water and wastewater treatment: A comprehensive exploration of current utilizations and prospective horizons. </w:t>
      </w:r>
      <w:r>
        <w:rPr>
          <w:rFonts w:ascii="Times New Roman" w:cs="Times New Roman" w:eastAsia="Times New Roman" w:hAnsi="Times New Roman"/>
          <w:i/>
          <w:iCs/>
          <w:sz w:val="24"/>
          <w:szCs w:val="24"/>
        </w:rPr>
        <w:t xml:space="preserve">Desalination and Water Treatment, 319</w:t>
      </w:r>
      <w:r>
        <w:rPr>
          <w:rFonts w:ascii="Times New Roman" w:cs="Times New Roman" w:eastAsia="Times New Roman" w:hAnsi="Times New Roman"/>
          <w:sz w:val="24"/>
          <w:szCs w:val="24"/>
        </w:rPr>
        <w:t xml:space="preserve">, Article 100569. https://doi.org/10.1016/j.dwt.2024.100569</w:t>
      </w:r>
    </w:p>
    <w:p>
      <w:pPr>
        <w:spacing w:after="100" w:line="360"/>
        <w:ind w:left="720" w:hanging="720"/>
      </w:pPr>
      <w:r>
        <w:rPr>
          <w:rFonts w:ascii="Times New Roman" w:cs="Times New Roman" w:eastAsia="Times New Roman" w:hAnsi="Times New Roman"/>
          <w:sz w:val="24"/>
          <w:szCs w:val="24"/>
        </w:rPr>
        <w:t xml:space="preserve">Al Bahri, J., Zhai, C., Al Abri, M., Liu, Y., &amp; Xia, S. (2025). Comprehensive review on advanced ceramic membranes for oily water treatment. </w:t>
      </w:r>
      <w:r>
        <w:rPr>
          <w:rFonts w:ascii="Times New Roman" w:cs="Times New Roman" w:eastAsia="Times New Roman" w:hAnsi="Times New Roman"/>
          <w:i/>
          <w:iCs/>
          <w:sz w:val="24"/>
          <w:szCs w:val="24"/>
        </w:rPr>
        <w:t xml:space="preserve">Environmental Science: Water Research &amp; Technology, 11</w:t>
      </w:r>
      <w:r>
        <w:rPr>
          <w:rFonts w:ascii="Times New Roman" w:cs="Times New Roman" w:eastAsia="Times New Roman" w:hAnsi="Times New Roman"/>
          <w:sz w:val="24"/>
          <w:szCs w:val="24"/>
        </w:rPr>
        <w:t xml:space="preserve">(12), 2844–2859. https://doi.org/10.1039/D5EW00842E</w:t>
      </w:r>
    </w:p>
    <w:p>
      <w:pPr>
        <w:spacing w:after="100" w:line="360"/>
        <w:ind w:left="720" w:hanging="720"/>
      </w:pPr>
      <w:r>
        <w:rPr>
          <w:rFonts w:ascii="Times New Roman" w:cs="Times New Roman" w:eastAsia="Times New Roman" w:hAnsi="Times New Roman"/>
          <w:sz w:val="24"/>
          <w:szCs w:val="24"/>
        </w:rPr>
        <w:t xml:space="preserve">Alessandro, F., &amp; Macedonio, F. (2025). A critical review of membrane distillation using ceramic membranes: Advances, opportunities and challenges. </w:t>
      </w:r>
      <w:r>
        <w:rPr>
          <w:rFonts w:ascii="Times New Roman" w:cs="Times New Roman" w:eastAsia="Times New Roman" w:hAnsi="Times New Roman"/>
          <w:i/>
          <w:iCs/>
          <w:sz w:val="24"/>
          <w:szCs w:val="24"/>
        </w:rPr>
        <w:t xml:space="preserve">Materials, 18</w:t>
      </w:r>
      <w:r>
        <w:rPr>
          <w:rFonts w:ascii="Times New Roman" w:cs="Times New Roman" w:eastAsia="Times New Roman" w:hAnsi="Times New Roman"/>
          <w:sz w:val="24"/>
          <w:szCs w:val="24"/>
        </w:rPr>
        <w:t xml:space="preserve">(14), Article 3296. https://doi.org/10.3390/ma18143296</w:t>
      </w:r>
    </w:p>
    <w:p>
      <w:pPr>
        <w:spacing w:after="100" w:line="360"/>
        <w:ind w:left="720" w:hanging="720"/>
      </w:pPr>
      <w:r>
        <w:rPr>
          <w:rFonts w:ascii="Times New Roman" w:cs="Times New Roman" w:eastAsia="Times New Roman" w:hAnsi="Times New Roman"/>
          <w:sz w:val="24"/>
          <w:szCs w:val="24"/>
        </w:rPr>
        <w:t xml:space="preserve">Azzam, N. M., Ali, S. S., Mohamed, G. G., Omar, M. M., &amp; Amin, S. K. (2025). Fabrication of composite ceramic polymeric membranes for agricultural wastewater treatment. </w:t>
      </w:r>
      <w:r>
        <w:rPr>
          <w:rFonts w:ascii="Times New Roman" w:cs="Times New Roman" w:eastAsia="Times New Roman" w:hAnsi="Times New Roman"/>
          <w:i/>
          <w:iCs/>
          <w:sz w:val="24"/>
          <w:szCs w:val="24"/>
        </w:rPr>
        <w:t xml:space="preserve">Scientific Reports, 15</w:t>
      </w:r>
      <w:r>
        <w:rPr>
          <w:rFonts w:ascii="Times New Roman" w:cs="Times New Roman" w:eastAsia="Times New Roman" w:hAnsi="Times New Roman"/>
          <w:sz w:val="24"/>
          <w:szCs w:val="24"/>
        </w:rPr>
        <w:t xml:space="preserve">, Article 2330. https://doi.org/10.1038/s41598-025-85542-w</w:t>
      </w:r>
    </w:p>
    <w:p>
      <w:pPr>
        <w:spacing w:after="100" w:line="360"/>
        <w:ind w:left="720" w:hanging="720"/>
      </w:pPr>
      <w:r>
        <w:rPr>
          <w:rFonts w:ascii="Times New Roman" w:cs="Times New Roman" w:eastAsia="Times New Roman" w:hAnsi="Times New Roman"/>
          <w:sz w:val="24"/>
          <w:szCs w:val="24"/>
        </w:rPr>
        <w:t xml:space="preserve">Bahrouni, J., Attia, A., Elberrichi, F. Z., Dammak, L., Baklouti, L., Ben Aissa, M.-A., Ben Amar, R., &amp; Deratani, A. (2025). Green and sustainable clay ceramic membrane preparation and application to textile wastewater treatment for color removal. </w:t>
      </w:r>
      <w:r>
        <w:rPr>
          <w:rFonts w:ascii="Times New Roman" w:cs="Times New Roman" w:eastAsia="Times New Roman" w:hAnsi="Times New Roman"/>
          <w:i/>
          <w:iCs/>
          <w:sz w:val="24"/>
          <w:szCs w:val="24"/>
        </w:rPr>
        <w:t xml:space="preserve">Membranes, 15</w:t>
      </w:r>
      <w:r>
        <w:rPr>
          <w:rFonts w:ascii="Times New Roman" w:cs="Times New Roman" w:eastAsia="Times New Roman" w:hAnsi="Times New Roman"/>
          <w:sz w:val="24"/>
          <w:szCs w:val="24"/>
        </w:rPr>
        <w:t xml:space="preserve">(10), Article 292. https://doi.org/10.3390/membranes15100292</w:t>
      </w:r>
    </w:p>
    <w:p>
      <w:pPr>
        <w:spacing w:after="100" w:line="360"/>
        <w:ind w:left="720" w:hanging="720"/>
      </w:pPr>
      <w:r>
        <w:rPr>
          <w:rFonts w:ascii="Times New Roman" w:cs="Times New Roman" w:eastAsia="Times New Roman" w:hAnsi="Times New Roman"/>
          <w:sz w:val="24"/>
          <w:szCs w:val="24"/>
        </w:rPr>
        <w:t xml:space="preserve">Burke, M., Wells, E., Larison, C., Rao, G., Bentley, M. J., Linden, Y. S., Smeets, P., DeFrance, J., Brown, J., &amp; Linden, K. G. (2025). Systematic review of microorganism removal performance by physiochemical water treatment technologies. </w:t>
      </w:r>
      <w:r>
        <w:rPr>
          <w:rFonts w:ascii="Times New Roman" w:cs="Times New Roman" w:eastAsia="Times New Roman" w:hAnsi="Times New Roman"/>
          <w:i/>
          <w:iCs/>
          <w:sz w:val="24"/>
          <w:szCs w:val="24"/>
        </w:rPr>
        <w:t xml:space="preserve">Environmental Science &amp; Technology, 59</w:t>
      </w:r>
      <w:r>
        <w:rPr>
          <w:rFonts w:ascii="Times New Roman" w:cs="Times New Roman" w:eastAsia="Times New Roman" w:hAnsi="Times New Roman"/>
          <w:sz w:val="24"/>
          <w:szCs w:val="24"/>
        </w:rPr>
        <w:t xml:space="preserve">(41), 21763–21775. https://doi.org/10.1021/acs.est.4c03459</w:t>
      </w:r>
    </w:p>
    <w:p>
      <w:pPr>
        <w:spacing w:after="100" w:line="360"/>
        <w:ind w:left="720" w:hanging="720"/>
      </w:pPr>
      <w:r>
        <w:rPr>
          <w:rFonts w:ascii="Times New Roman" w:cs="Times New Roman" w:eastAsia="Times New Roman" w:hAnsi="Times New Roman"/>
          <w:sz w:val="24"/>
          <w:szCs w:val="24"/>
        </w:rPr>
        <w:t xml:space="preserve">Cai, C., Sun, W., He, S., Lu, P., Zhang, J., &amp; Liang, H. (2023). Ceramic membrane fouling mechanisms and control for water treatment. </w:t>
      </w:r>
      <w:r>
        <w:rPr>
          <w:rFonts w:ascii="Times New Roman" w:cs="Times New Roman" w:eastAsia="Times New Roman" w:hAnsi="Times New Roman"/>
          <w:i/>
          <w:iCs/>
          <w:sz w:val="24"/>
          <w:szCs w:val="24"/>
        </w:rPr>
        <w:t xml:space="preserve">Frontiers of Environmental Science &amp; Engineering, 17</w:t>
      </w:r>
      <w:r>
        <w:rPr>
          <w:rFonts w:ascii="Times New Roman" w:cs="Times New Roman" w:eastAsia="Times New Roman" w:hAnsi="Times New Roman"/>
          <w:sz w:val="24"/>
          <w:szCs w:val="24"/>
        </w:rPr>
        <w:t xml:space="preserve">(10), Article 126. https://doi.org/10.1007/s11783-023-1726-9</w:t>
      </w:r>
    </w:p>
    <w:p>
      <w:pPr>
        <w:spacing w:after="100" w:line="360"/>
        <w:ind w:left="720" w:hanging="720"/>
      </w:pPr>
      <w:r>
        <w:rPr>
          <w:rFonts w:ascii="Times New Roman" w:cs="Times New Roman" w:eastAsia="Times New Roman" w:hAnsi="Times New Roman"/>
          <w:sz w:val="24"/>
          <w:szCs w:val="24"/>
        </w:rPr>
        <w:t xml:space="preserve">Chen, S., Qiu, L., Yu, X., Shen, X., Wang, X., Wang, J., Zhang, Y., Chu, L., Zhang, M., Zhou, Z., Wang, Y., Ma, H., Gu, C., &amp; Chen, Z. (2025). Renewable Fe-based ceramic membrane for efficient per- and polyfluoroalkyl substances (PFAS) removal with light-driven regenerative ability. </w:t>
      </w:r>
      <w:r>
        <w:rPr>
          <w:rFonts w:ascii="Times New Roman" w:cs="Times New Roman" w:eastAsia="Times New Roman" w:hAnsi="Times New Roman"/>
          <w:i/>
          <w:iCs/>
          <w:sz w:val="24"/>
          <w:szCs w:val="24"/>
        </w:rPr>
        <w:t xml:space="preserve">Separation and Purification Technology, 379</w:t>
      </w:r>
      <w:r>
        <w:rPr>
          <w:rFonts w:ascii="Times New Roman" w:cs="Times New Roman" w:eastAsia="Times New Roman" w:hAnsi="Times New Roman"/>
          <w:sz w:val="24"/>
          <w:szCs w:val="24"/>
        </w:rPr>
        <w:t xml:space="preserve">, Article 134948. https://doi.org/10.1016/j.seppur.2025.134948</w:t>
      </w:r>
    </w:p>
    <w:p>
      <w:pPr>
        <w:spacing w:after="100" w:line="360"/>
        <w:ind w:left="720" w:hanging="720"/>
      </w:pPr>
      <w:r>
        <w:rPr>
          <w:rFonts w:ascii="Times New Roman" w:cs="Times New Roman" w:eastAsia="Times New Roman" w:hAnsi="Times New Roman"/>
          <w:sz w:val="24"/>
          <w:szCs w:val="24"/>
        </w:rPr>
        <w:t xml:space="preserve">Covaliu-Mierlă, C. I., Păunescu, O., &amp; Iovu, H. (2023). Recent advances in membranes used for nanofiltration to remove heavy metals from wastewater: A review. </w:t>
      </w:r>
      <w:r>
        <w:rPr>
          <w:rFonts w:ascii="Times New Roman" w:cs="Times New Roman" w:eastAsia="Times New Roman" w:hAnsi="Times New Roman"/>
          <w:i/>
          <w:iCs/>
          <w:sz w:val="24"/>
          <w:szCs w:val="24"/>
        </w:rPr>
        <w:t xml:space="preserve">Membranes, 13</w:t>
      </w:r>
      <w:r>
        <w:rPr>
          <w:rFonts w:ascii="Times New Roman" w:cs="Times New Roman" w:eastAsia="Times New Roman" w:hAnsi="Times New Roman"/>
          <w:sz w:val="24"/>
          <w:szCs w:val="24"/>
        </w:rPr>
        <w:t xml:space="preserve">(7), Article 643. https://doi.org/10.3390/membranes13070643</w:t>
      </w:r>
    </w:p>
    <w:p>
      <w:pPr>
        <w:spacing w:after="100" w:line="360"/>
        <w:ind w:left="720" w:hanging="720"/>
      </w:pPr>
      <w:r>
        <w:rPr>
          <w:rFonts w:ascii="Times New Roman" w:cs="Times New Roman" w:eastAsia="Times New Roman" w:hAnsi="Times New Roman"/>
          <w:sz w:val="24"/>
          <w:szCs w:val="24"/>
        </w:rPr>
        <w:t xml:space="preserve">Dashtban Kenari, S. L., Mortazavi, S., Mosadeghsedghi, S., Atallah, C., &amp; Volchek, K. (2025). Advancing ceramic membrane technology for sustainable treatment of mining discharge: Challenges and future directions. </w:t>
      </w:r>
      <w:r>
        <w:rPr>
          <w:rFonts w:ascii="Times New Roman" w:cs="Times New Roman" w:eastAsia="Times New Roman" w:hAnsi="Times New Roman"/>
          <w:i/>
          <w:iCs/>
          <w:sz w:val="24"/>
          <w:szCs w:val="24"/>
        </w:rPr>
        <w:t xml:space="preserve">Membranes, 15</w:t>
      </w:r>
      <w:r>
        <w:rPr>
          <w:rFonts w:ascii="Times New Roman" w:cs="Times New Roman" w:eastAsia="Times New Roman" w:hAnsi="Times New Roman"/>
          <w:sz w:val="24"/>
          <w:szCs w:val="24"/>
        </w:rPr>
        <w:t xml:space="preserve">(4), Article 112. https://doi.org/10.3390/membranes15040112</w:t>
      </w:r>
    </w:p>
    <w:p>
      <w:pPr>
        <w:spacing w:after="100" w:line="360"/>
        <w:ind w:left="720" w:hanging="720"/>
      </w:pPr>
      <w:r>
        <w:rPr>
          <w:rFonts w:ascii="Times New Roman" w:cs="Times New Roman" w:eastAsia="Times New Roman" w:hAnsi="Times New Roman"/>
          <w:sz w:val="24"/>
          <w:szCs w:val="24"/>
        </w:rPr>
        <w:t xml:space="preserve">El Azizi, A., El Harouachi, H., Ahoudi, D., Maliki, S., Mansori, M., &amp; Loutou, M. (2025). Phosphate tailings and clay-based ceramic membranes: Tailoring microstructure and filtration properties via alkali activation. </w:t>
      </w:r>
      <w:r>
        <w:rPr>
          <w:rFonts w:ascii="Times New Roman" w:cs="Times New Roman" w:eastAsia="Times New Roman" w:hAnsi="Times New Roman"/>
          <w:i/>
          <w:iCs/>
          <w:sz w:val="24"/>
          <w:szCs w:val="24"/>
        </w:rPr>
        <w:t xml:space="preserve">Membranes, 15</w:t>
      </w:r>
      <w:r>
        <w:rPr>
          <w:rFonts w:ascii="Times New Roman" w:cs="Times New Roman" w:eastAsia="Times New Roman" w:hAnsi="Times New Roman"/>
          <w:sz w:val="24"/>
          <w:szCs w:val="24"/>
        </w:rPr>
        <w:t xml:space="preserve">(2), Article 52. https://doi.org/10.3390/membranes15020052</w:t>
      </w:r>
    </w:p>
    <w:p>
      <w:pPr>
        <w:spacing w:after="100" w:line="360"/>
        <w:ind w:left="720" w:hanging="720"/>
      </w:pPr>
      <w:r>
        <w:rPr>
          <w:rFonts w:ascii="Times New Roman" w:cs="Times New Roman" w:eastAsia="Times New Roman" w:hAnsi="Times New Roman"/>
          <w:sz w:val="24"/>
          <w:szCs w:val="24"/>
        </w:rPr>
        <w:t xml:space="preserve">Fu, Z., Zhou, Z., Liu, Z., Yang, H., &amp; Chen, Z. (2024). Feasibility and challenges of low-cost ceramic membranes in water treatment applications. </w:t>
      </w:r>
      <w:r>
        <w:rPr>
          <w:rFonts w:ascii="Times New Roman" w:cs="Times New Roman" w:eastAsia="Times New Roman" w:hAnsi="Times New Roman"/>
          <w:i/>
          <w:iCs/>
          <w:sz w:val="24"/>
          <w:szCs w:val="24"/>
        </w:rPr>
        <w:t xml:space="preserve">Desalination and Water Treatment, 320</w:t>
      </w:r>
      <w:r>
        <w:rPr>
          <w:rFonts w:ascii="Times New Roman" w:cs="Times New Roman" w:eastAsia="Times New Roman" w:hAnsi="Times New Roman"/>
          <w:sz w:val="24"/>
          <w:szCs w:val="24"/>
        </w:rPr>
        <w:t xml:space="preserve">, Article 100739. https://doi.org/10.1016/j.dwt.2024.100739</w:t>
      </w:r>
    </w:p>
    <w:p>
      <w:pPr>
        <w:spacing w:after="100" w:line="360"/>
        <w:ind w:left="720" w:hanging="720"/>
      </w:pPr>
      <w:r>
        <w:rPr>
          <w:rFonts w:ascii="Times New Roman" w:cs="Times New Roman" w:eastAsia="Times New Roman" w:hAnsi="Times New Roman"/>
          <w:sz w:val="24"/>
          <w:szCs w:val="24"/>
        </w:rPr>
        <w:t xml:space="preserve">Hosseinzadeh, F., Hashemi, H., &amp; Sarpoolaky, H. (2025). Sustainable ceramic membrane for water and wastewater treatment: A comprehensive review of environmental, social, and economic aspects. </w:t>
      </w:r>
      <w:r>
        <w:rPr>
          <w:rFonts w:ascii="Times New Roman" w:cs="Times New Roman" w:eastAsia="Times New Roman" w:hAnsi="Times New Roman"/>
          <w:i/>
          <w:iCs/>
          <w:sz w:val="24"/>
          <w:szCs w:val="24"/>
        </w:rPr>
        <w:t xml:space="preserve">Desalination, 615</w:t>
      </w:r>
      <w:r>
        <w:rPr>
          <w:rFonts w:ascii="Times New Roman" w:cs="Times New Roman" w:eastAsia="Times New Roman" w:hAnsi="Times New Roman"/>
          <w:sz w:val="24"/>
          <w:szCs w:val="24"/>
        </w:rPr>
        <w:t xml:space="preserve">, Article 119231. https://doi.org/10.1016/j.desal.2025.119231</w:t>
      </w:r>
    </w:p>
    <w:p>
      <w:pPr>
        <w:spacing w:after="100" w:line="360"/>
        <w:ind w:left="720" w:hanging="720"/>
      </w:pPr>
      <w:r>
        <w:rPr>
          <w:rFonts w:ascii="Times New Roman" w:cs="Times New Roman" w:eastAsia="Times New Roman" w:hAnsi="Times New Roman"/>
          <w:sz w:val="24"/>
          <w:szCs w:val="24"/>
        </w:rPr>
        <w:t xml:space="preserve">Jarrar, R., Abbas, M. K. G., &amp; Al-Ejji, M. (2024). Environmental remediation and the efficacy of ceramic membranes in wastewater treatment—A review. </w:t>
      </w:r>
      <w:r>
        <w:rPr>
          <w:rFonts w:ascii="Times New Roman" w:cs="Times New Roman" w:eastAsia="Times New Roman" w:hAnsi="Times New Roman"/>
          <w:i/>
          <w:iCs/>
          <w:sz w:val="24"/>
          <w:szCs w:val="24"/>
        </w:rPr>
        <w:t xml:space="preserve">Emergent Materials, 7</w:t>
      </w:r>
      <w:r>
        <w:rPr>
          <w:rFonts w:ascii="Times New Roman" w:cs="Times New Roman" w:eastAsia="Times New Roman" w:hAnsi="Times New Roman"/>
          <w:sz w:val="24"/>
          <w:szCs w:val="24"/>
        </w:rPr>
        <w:t xml:space="preserve">, 1295–1327. https://doi.org/10.1007/s42247-024-00687-0</w:t>
      </w:r>
    </w:p>
    <w:p>
      <w:pPr>
        <w:spacing w:after="100" w:line="360"/>
        <w:ind w:left="720" w:hanging="720"/>
      </w:pPr>
      <w:r>
        <w:rPr>
          <w:rFonts w:ascii="Times New Roman" w:cs="Times New Roman" w:eastAsia="Times New Roman" w:hAnsi="Times New Roman"/>
          <w:sz w:val="24"/>
          <w:szCs w:val="24"/>
        </w:rPr>
        <w:t xml:space="preserve">Kim, S. Y., Kim, S., &amp; Park, C. (2025). Evaluation of ceramic membrane filtration for alternatives to microplastics in cosmetic formulations using FlowCam analysis. </w:t>
      </w:r>
      <w:r>
        <w:rPr>
          <w:rFonts w:ascii="Times New Roman" w:cs="Times New Roman" w:eastAsia="Times New Roman" w:hAnsi="Times New Roman"/>
          <w:i/>
          <w:iCs/>
          <w:sz w:val="24"/>
          <w:szCs w:val="24"/>
        </w:rPr>
        <w:t xml:space="preserve">Membranes, 15</w:t>
      </w:r>
      <w:r>
        <w:rPr>
          <w:rFonts w:ascii="Times New Roman" w:cs="Times New Roman" w:eastAsia="Times New Roman" w:hAnsi="Times New Roman"/>
          <w:sz w:val="24"/>
          <w:szCs w:val="24"/>
        </w:rPr>
        <w:t xml:space="preserve">(1), Article 35. https://doi.org/10.3390/membranes15010035</w:t>
      </w:r>
    </w:p>
    <w:p>
      <w:pPr>
        <w:spacing w:after="100" w:line="360"/>
        <w:ind w:left="720" w:hanging="720"/>
      </w:pPr>
      <w:r>
        <w:rPr>
          <w:rFonts w:ascii="Times New Roman" w:cs="Times New Roman" w:eastAsia="Times New Roman" w:hAnsi="Times New Roman"/>
          <w:sz w:val="24"/>
          <w:szCs w:val="24"/>
        </w:rPr>
        <w:t xml:space="preserve">Lin, B., Deng, X., Chen, J., Low, Z.-X., Zhong, Z., &amp; Xing, W. (2025). Integration of oxidation processes and ceramic membrane filtration for advanced water treatment: A review of foulant–membrane interactions. </w:t>
      </w:r>
      <w:r>
        <w:rPr>
          <w:rFonts w:ascii="Times New Roman" w:cs="Times New Roman" w:eastAsia="Times New Roman" w:hAnsi="Times New Roman"/>
          <w:i/>
          <w:iCs/>
          <w:sz w:val="24"/>
          <w:szCs w:val="24"/>
        </w:rPr>
        <w:t xml:space="preserve">Advanced Membranes, 5</w:t>
      </w:r>
      <w:r>
        <w:rPr>
          <w:rFonts w:ascii="Times New Roman" w:cs="Times New Roman" w:eastAsia="Times New Roman" w:hAnsi="Times New Roman"/>
          <w:sz w:val="24"/>
          <w:szCs w:val="24"/>
        </w:rPr>
        <w:t xml:space="preserve">, Article 100138. https://doi.org/10.1016/j.advmem.2025.100138</w:t>
      </w:r>
    </w:p>
    <w:p>
      <w:pPr>
        <w:spacing w:after="100" w:line="360"/>
        <w:ind w:left="720" w:hanging="720"/>
      </w:pPr>
      <w:r>
        <w:rPr>
          <w:rFonts w:ascii="Times New Roman" w:cs="Times New Roman" w:eastAsia="Times New Roman" w:hAnsi="Times New Roman"/>
          <w:sz w:val="24"/>
          <w:szCs w:val="24"/>
        </w:rPr>
        <w:t xml:space="preserve">Lin, Z., Liu, L., Zhang, C., Su, P., Zhang, X., Li, X., &amp; Jiao, Y. (2024). Emerging conductive ceramic membranes for water purification and membrane fouling mitigation. </w:t>
      </w:r>
      <w:r>
        <w:rPr>
          <w:rFonts w:ascii="Times New Roman" w:cs="Times New Roman" w:eastAsia="Times New Roman" w:hAnsi="Times New Roman"/>
          <w:i/>
          <w:iCs/>
          <w:sz w:val="24"/>
          <w:szCs w:val="24"/>
        </w:rPr>
        <w:t xml:space="preserve">Chemical Engineering Journal, 493</w:t>
      </w:r>
      <w:r>
        <w:rPr>
          <w:rFonts w:ascii="Times New Roman" w:cs="Times New Roman" w:eastAsia="Times New Roman" w:hAnsi="Times New Roman"/>
          <w:sz w:val="24"/>
          <w:szCs w:val="24"/>
        </w:rPr>
        <w:t xml:space="preserve">, Article 152568. https://doi.org/10.1016/j.cej.2024.152568</w:t>
      </w:r>
    </w:p>
    <w:p>
      <w:pPr>
        <w:spacing w:after="100" w:line="360"/>
        <w:ind w:left="720" w:hanging="720"/>
      </w:pPr>
      <w:r>
        <w:rPr>
          <w:rFonts w:ascii="Times New Roman" w:cs="Times New Roman" w:eastAsia="Times New Roman" w:hAnsi="Times New Roman"/>
          <w:sz w:val="24"/>
          <w:szCs w:val="24"/>
        </w:rPr>
        <w:t xml:space="preserve">Malebadi, K. A., Sawunyama, L., Seheri, N. H., &amp; Onwudiwe, D. C. (2025). Application of ceramic membranes derived from waste and natural materials for the removal of organic dyes from wastewater: A review. </w:t>
      </w:r>
      <w:r>
        <w:rPr>
          <w:rFonts w:ascii="Times New Roman" w:cs="Times New Roman" w:eastAsia="Times New Roman" w:hAnsi="Times New Roman"/>
          <w:i/>
          <w:iCs/>
          <w:sz w:val="24"/>
          <w:szCs w:val="24"/>
        </w:rPr>
        <w:t xml:space="preserve">Ceramics, 8</w:t>
      </w:r>
      <w:r>
        <w:rPr>
          <w:rFonts w:ascii="Times New Roman" w:cs="Times New Roman" w:eastAsia="Times New Roman" w:hAnsi="Times New Roman"/>
          <w:sz w:val="24"/>
          <w:szCs w:val="24"/>
        </w:rPr>
        <w:t xml:space="preserve">(3), Article 80. https://doi.org/10.3390/ceramics8030080</w:t>
      </w:r>
    </w:p>
    <w:p>
      <w:pPr>
        <w:spacing w:after="100" w:line="360"/>
        <w:ind w:left="720" w:hanging="720"/>
      </w:pPr>
      <w:r>
        <w:rPr>
          <w:rFonts w:ascii="Times New Roman" w:cs="Times New Roman" w:eastAsia="Times New Roman" w:hAnsi="Times New Roman"/>
          <w:sz w:val="24"/>
          <w:szCs w:val="24"/>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w:cs="Times New Roman" w:eastAsia="Times New Roman" w:hAnsi="Times New Roman"/>
          <w:i/>
          <w:iCs/>
          <w:sz w:val="24"/>
          <w:szCs w:val="24"/>
        </w:rPr>
        <w:t xml:space="preserve">BMJ, 372</w:t>
      </w:r>
      <w:r>
        <w:rPr>
          <w:rFonts w:ascii="Times New Roman" w:cs="Times New Roman" w:eastAsia="Times New Roman" w:hAnsi="Times New Roman"/>
          <w:sz w:val="24"/>
          <w:szCs w:val="24"/>
        </w:rPr>
        <w:t xml:space="preserve">, Article n71. https://doi.org/10.1136/bmj.n71</w:t>
      </w:r>
    </w:p>
    <w:p>
      <w:pPr>
        <w:spacing w:after="100" w:line="360"/>
        <w:ind w:left="720" w:hanging="720"/>
      </w:pPr>
      <w:r>
        <w:rPr>
          <w:rFonts w:ascii="Times New Roman" w:cs="Times New Roman" w:eastAsia="Times New Roman" w:hAnsi="Times New Roman"/>
          <w:sz w:val="24"/>
          <w:szCs w:val="24"/>
        </w:rPr>
        <w:t xml:space="preserve">United Nations. (2015). </w:t>
      </w:r>
      <w:r>
        <w:rPr>
          <w:rFonts w:ascii="Times New Roman" w:cs="Times New Roman" w:eastAsia="Times New Roman" w:hAnsi="Times New Roman"/>
          <w:i/>
          <w:iCs/>
          <w:sz w:val="24"/>
          <w:szCs w:val="24"/>
        </w:rPr>
        <w:t xml:space="preserve">Transforming our world: The 2030 Agenda for Sustainable Development</w:t>
      </w:r>
      <w:r>
        <w:rPr>
          <w:rFonts w:ascii="Times New Roman" w:cs="Times New Roman" w:eastAsia="Times New Roman" w:hAnsi="Times New Roman"/>
          <w:sz w:val="24"/>
          <w:szCs w:val="24"/>
        </w:rPr>
        <w:t xml:space="preserve"> (A/RES/70/1). https://sdgs.un.org/2030agenda</w:t>
      </w:r>
    </w:p>
    <w:p>
      <w:pPr>
        <w:spacing w:after="100" w:line="360"/>
        <w:ind w:left="720" w:hanging="720"/>
      </w:pPr>
      <w:r>
        <w:rPr>
          <w:rFonts w:ascii="Times New Roman" w:cs="Times New Roman" w:eastAsia="Times New Roman" w:hAnsi="Times New Roman"/>
          <w:sz w:val="24"/>
          <w:szCs w:val="24"/>
        </w:rPr>
        <w:t xml:space="preserve">WHO/UNICEF. (2023). </w:t>
      </w:r>
      <w:r>
        <w:rPr>
          <w:rFonts w:ascii="Times New Roman" w:cs="Times New Roman" w:eastAsia="Times New Roman" w:hAnsi="Times New Roman"/>
          <w:i/>
          <w:iCs/>
          <w:sz w:val="24"/>
          <w:szCs w:val="24"/>
        </w:rPr>
        <w:t xml:space="preserve">Progress on household drinking water, sanitation and hygiene 2000–2022: Special focus on gender</w:t>
      </w:r>
      <w:r>
        <w:rPr>
          <w:rFonts w:ascii="Times New Roman" w:cs="Times New Roman" w:eastAsia="Times New Roman" w:hAnsi="Times New Roman"/>
          <w:sz w:val="24"/>
          <w:szCs w:val="24"/>
        </w:rPr>
        <w:t xml:space="preserve">. World Health Organization and United Nations Children's Fund.</w:t>
      </w:r>
    </w:p>
    <w:p>
      <w:pPr>
        <w:spacing w:after="100" w:line="360"/>
        <w:ind w:left="720" w:hanging="720"/>
      </w:pPr>
      <w:r>
        <w:rPr>
          <w:rFonts w:ascii="Times New Roman" w:cs="Times New Roman" w:eastAsia="Times New Roman" w:hAnsi="Times New Roman"/>
          <w:sz w:val="24"/>
          <w:szCs w:val="24"/>
        </w:rPr>
        <w:t xml:space="preserve">Xie, X., Wang, L., Wei, J., He, H., Guo, Z., Wang, C., Wen, X., &amp; Song, Y. (2024). Progress in ceramic membrane coupling ozonation process for water and wastewater treatment: A critical review. </w:t>
      </w:r>
      <w:r>
        <w:rPr>
          <w:rFonts w:ascii="Times New Roman" w:cs="Times New Roman" w:eastAsia="Times New Roman" w:hAnsi="Times New Roman"/>
          <w:i/>
          <w:iCs/>
          <w:sz w:val="24"/>
          <w:szCs w:val="24"/>
        </w:rPr>
        <w:t xml:space="preserve">Chemical Engineering Journal, 493</w:t>
      </w:r>
      <w:r>
        <w:rPr>
          <w:rFonts w:ascii="Times New Roman" w:cs="Times New Roman" w:eastAsia="Times New Roman" w:hAnsi="Times New Roman"/>
          <w:sz w:val="24"/>
          <w:szCs w:val="24"/>
        </w:rPr>
        <w:t xml:space="preserve">, Article 152475. https://doi.org/10.1016/j.cej.2024.152475</w:t>
      </w:r>
    </w:p>
    <w:p>
      <w:pPr>
        <w:spacing w:after="100" w:line="360"/>
        <w:ind w:left="720" w:hanging="720"/>
      </w:pPr>
      <w:r>
        <w:rPr>
          <w:rFonts w:ascii="Times New Roman" w:cs="Times New Roman" w:eastAsia="Times New Roman" w:hAnsi="Times New Roman"/>
          <w:sz w:val="24"/>
          <w:szCs w:val="24"/>
        </w:rPr>
        <w:t xml:space="preserve">Xie, Y., Liu, Z., Yu, J., Shan, Z., Liu, H., &amp; Zhang, Y. (2025). Water purification efficiency and membrane fouling behavior of ceramic membrane–nanofiltration in treating water treatment plant production wastewater. </w:t>
      </w:r>
      <w:r>
        <w:rPr>
          <w:rFonts w:ascii="Times New Roman" w:cs="Times New Roman" w:eastAsia="Times New Roman" w:hAnsi="Times New Roman"/>
          <w:i/>
          <w:iCs/>
          <w:sz w:val="24"/>
          <w:szCs w:val="24"/>
        </w:rPr>
        <w:t xml:space="preserve">Membranes, 15</w:t>
      </w:r>
      <w:r>
        <w:rPr>
          <w:rFonts w:ascii="Times New Roman" w:cs="Times New Roman" w:eastAsia="Times New Roman" w:hAnsi="Times New Roman"/>
          <w:sz w:val="24"/>
          <w:szCs w:val="24"/>
        </w:rPr>
        <w:t xml:space="preserve">(12), Article 387. https://doi.org/10.3390/membranes15120387</w:t>
      </w:r>
    </w:p>
    <w:p>
      <w:pPr>
        <w:spacing w:after="100" w:line="360"/>
        <w:ind w:left="720" w:hanging="720"/>
      </w:pPr>
      <w:r>
        <w:rPr>
          <w:rFonts w:ascii="Times New Roman" w:cs="Times New Roman" w:eastAsia="Times New Roman" w:hAnsi="Times New Roman"/>
          <w:sz w:val="24"/>
          <w:szCs w:val="24"/>
        </w:rPr>
        <w:t xml:space="preserve">Zhang, Y., Chen, T., Chen, X., Fu, K., Qiu, M., &amp; Fan, Y. (2025). The application of pressure-driven ceramic-based membrane for the treatment of saline wastewater and desalination – A review. </w:t>
      </w:r>
      <w:r>
        <w:rPr>
          <w:rFonts w:ascii="Times New Roman" w:cs="Times New Roman" w:eastAsia="Times New Roman" w:hAnsi="Times New Roman"/>
          <w:i/>
          <w:iCs/>
          <w:sz w:val="24"/>
          <w:szCs w:val="24"/>
        </w:rPr>
        <w:t xml:space="preserve">Desalination, 597</w:t>
      </w:r>
      <w:r>
        <w:rPr>
          <w:rFonts w:ascii="Times New Roman" w:cs="Times New Roman" w:eastAsia="Times New Roman" w:hAnsi="Times New Roman"/>
          <w:sz w:val="24"/>
          <w:szCs w:val="24"/>
        </w:rPr>
        <w:t xml:space="preserve">, Article 118327. https://doi.org/10.1016/j.desal.2024.118327</w:t>
      </w:r>
    </w:p>
    <w:p>
      <w:pPr>
        <w:shd w:fill="FDECEA" w:color="auto" w:val="clear"/>
        <w:spacing w:after="160" w:before="120" w:line="360"/>
        <w:jc w:val="center"/>
      </w:pPr>
      <w:r>
        <w:rPr>
          <w:rFonts w:ascii="Times New Roman" w:cs="Times New Roman" w:eastAsia="Times New Roman" w:hAnsi="Times New Roman"/>
          <w:b/>
          <w:bCs/>
          <w:color w:val="C8553D"/>
          <w:sz w:val="22"/>
          <w:szCs w:val="22"/>
        </w:rPr>
        <w:t xml:space="preserve">[INSERT THE REFERENCE LIST FROM YOUR LITERATURE REVIEW HERE AS AN IMAGE, as the template requires. Delete this box after inserting.]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80e714c8e4f81ff69ae6772dbce4c6129cbc7e.png"/><Relationship Id="rId8" Type="http://schemas.openxmlformats.org/officeDocument/2006/relationships/image" Target="media/66669f084cd75282f5fa204bc229ef4c74b0ec8a.png"/><Relationship Id="rId9" Type="http://schemas.openxmlformats.org/officeDocument/2006/relationships/image" Target="media/b19c0a851caf7a0726ee119f250d1a9313a5db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2026-10-06T17:39:10.923Z</dcterms:created>
  <dcterms:modified xsi:type="dcterms:W3CDTF">2026-10-06T17:39:10.923Z</dcterms:modified>
</cp:coreProperties>
</file>

<file path=docProps/custom.xml><?xml version="1.0" encoding="utf-8"?>
<Properties xmlns="http://schemas.openxmlformats.org/officeDocument/2006/custom-properties" xmlns:vt="http://schemas.openxmlformats.org/officeDocument/2006/docPropsVTypes"/>
</file>