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Provenance</w:t>
      </w:r>
      <w:r>
        <w:t xml:space="preserve"> </w:t>
      </w:r>
      <w:r>
        <w:t xml:space="preserve">Statement</w:t>
      </w:r>
      <w:r>
        <w:t xml:space="preserve"> </w:t>
      </w:r>
      <w:r>
        <w:t xml:space="preserve">–</w:t>
      </w:r>
      <w:r>
        <w:t xml:space="preserve"> </w:t>
      </w:r>
      <w:r>
        <w:t xml:space="preserve">Consent</w:t>
      </w:r>
      <w:r>
        <w:t xml:space="preserve"> </w:t>
      </w:r>
      <w:r>
        <w:t xml:space="preserve">Before</w:t>
      </w:r>
      <w:r>
        <w:t xml:space="preserve"> </w:t>
      </w:r>
      <w:r>
        <w:t xml:space="preserve">Code</w:t>
      </w:r>
      <w:r>
        <w:t xml:space="preserve"> </w:t>
      </w:r>
      <w:r>
        <w:t xml:space="preserve">Briefing</w:t>
      </w:r>
    </w:p>
    <w:p>
      <w:pPr>
        <w:pStyle w:val="Subtitle"/>
      </w:pPr>
      <w:r>
        <w:t xml:space="preserve">[Student</w:t>
      </w:r>
      <w:r>
        <w:t xml:space="preserve"> </w:t>
      </w:r>
      <w:r>
        <w:t xml:space="preserve">Name]</w:t>
      </w:r>
      <w:r>
        <w:t xml:space="preserve"> </w:t>
      </w:r>
      <w:r>
        <w:t xml:space="preserve">·</w:t>
      </w:r>
      <w:r>
        <w:t xml:space="preserve"> </w:t>
      </w:r>
      <w:r>
        <w:t xml:space="preserve">[Student</w:t>
      </w:r>
      <w:r>
        <w:t xml:space="preserve"> </w:t>
      </w:r>
      <w:r>
        <w:t xml:space="preserve">ID]</w:t>
      </w:r>
      <w:r>
        <w:t xml:space="preserve"> </w:t>
      </w:r>
      <w:r>
        <w:t xml:space="preserve">·</w:t>
      </w:r>
      <w:r>
        <w:t xml:space="preserve"> </w:t>
      </w:r>
      <w:r>
        <w:t xml:space="preserve">SCI6120</w:t>
      </w:r>
      <w:r>
        <w:t xml:space="preserve"> </w:t>
      </w:r>
      <w:r>
        <w:t xml:space="preserve">·</w:t>
      </w:r>
      <w:r>
        <w:t xml:space="preserve"> </w:t>
      </w:r>
      <w:r>
        <w:t xml:space="preserve">20</w:t>
      </w:r>
      <w:r>
        <w:t xml:space="preserve"> </w:t>
      </w:r>
      <w:r>
        <w:t xml:space="preserve">October</w:t>
      </w:r>
      <w:r>
        <w:t xml:space="preserve"> </w:t>
      </w:r>
      <w:r>
        <w:t xml:space="preserve">2026</w:t>
      </w:r>
    </w:p>
    <w:bookmarkStart w:id="20" w:name="purpose-and-scope"/>
    <w:p>
      <w:pPr>
        <w:pStyle w:val="Heading2"/>
      </w:pPr>
      <w:r>
        <w:t xml:space="preserve">1. Purpose and scope</w:t>
      </w:r>
    </w:p>
    <w:p>
      <w:pPr>
        <w:pStyle w:val="FirstParagraph"/>
      </w:pPr>
      <w:r>
        <w:t xml:space="preserve">Every figure on the evidence slide (Slide 5) of the</w:t>
      </w:r>
      <w:r>
        <w:t xml:space="preserve"> </w:t>
      </w:r>
      <w:r>
        <w:rPr>
          <w:iCs/>
          <w:i/>
        </w:rPr>
        <w:t xml:space="preserve">Consent Before Code</w:t>
      </w:r>
      <w:r>
        <w:t xml:space="preserve"> </w:t>
      </w:r>
      <w:r>
        <w:t xml:space="preserve">briefing comes from one public source: the Australian Bureau of Statistics (ABS) release on Aboriginal and Torres Strait Islander language use from the 2021 Census (ABS, 2022a). This statement traces each figure from that source, through the data file and analysis script, to the published chart, so that a reader can reproduce or check it.</w:t>
      </w:r>
    </w:p>
    <w:p>
      <w:pPr>
        <w:pStyle w:val="BodyText"/>
      </w:pPr>
      <w:r>
        <w:t xml:space="preserve">The statement covers four submitted files: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fill="EDEAE6"/>
          </w:tcPr>
          <w:p>
            <w:pPr>
              <w:pStyle w:val="Compact"/>
              <w:jc w:val="left"/>
            </w:pPr>
            <w:r>
              <w:rPr>
                <w:b/>
                <w:sz w:val="20"/>
              </w:rPr>
              <w:t xml:space="preserve">File</w:t>
            </w:r>
          </w:p>
        </w:tc>
        <w:tc>
          <w:tcPr>
            <w:shd w:val="clear" w:fill="EDEAE6"/>
          </w:tcPr>
          <w:p>
            <w:pPr>
              <w:pStyle w:val="Compact"/>
              <w:jc w:val="left"/>
            </w:pPr>
            <w:r>
              <w:rPr>
                <w:b/>
                <w:sz w:val="20"/>
              </w:rPr>
              <w:t xml:space="preserve">Role</w:t>
            </w:r>
          </w:p>
        </w:tc>
      </w:tr>
      <w:tr>
        <w:tc>
          <w:tcPr/>
          <w:p>
            <w:pPr>
              <w:pStyle w:val="Compact"/>
              <w:jc w:val="left"/>
            </w:pPr>
            <w:r>
              <w:rPr>
                <w:rStyle w:val="VerbatimChar"/>
                <w:sz w:val="20"/>
              </w:rPr>
              <w:t xml:space="preserve">language_data.csv</w:t>
            </w:r>
          </w:p>
        </w:tc>
        <w:tc>
          <w:tcPr/>
          <w:p>
            <w:pPr>
              <w:pStyle w:val="Compact"/>
              <w:jc w:val="left"/>
            </w:pPr>
            <w:r>
              <w:rPr>
                <w:sz w:val="20"/>
              </w:rPr>
              <w:t xml:space="preserve">Native data file: ABS figures as published, with a source column</w:t>
            </w:r>
          </w:p>
        </w:tc>
      </w:tr>
      <w:tr>
        <w:tc>
          <w:tcPr/>
          <w:p>
            <w:pPr>
              <w:pStyle w:val="Compact"/>
              <w:jc w:val="left"/>
            </w:pPr>
            <w:r>
              <w:rPr>
                <w:rStyle w:val="VerbatimChar"/>
                <w:sz w:val="20"/>
              </w:rPr>
              <w:t xml:space="preserve">make_chart.py</w:t>
            </w:r>
          </w:p>
        </w:tc>
        <w:tc>
          <w:tcPr/>
          <w:p>
            <w:pPr>
              <w:pStyle w:val="Compact"/>
              <w:jc w:val="left"/>
            </w:pPr>
            <w:r>
              <w:rPr>
                <w:sz w:val="20"/>
              </w:rPr>
              <w:t xml:space="preserve">Analysis and visualisation script (Python)</w:t>
            </w:r>
          </w:p>
        </w:tc>
      </w:tr>
      <w:tr>
        <w:tc>
          <w:tcPr/>
          <w:p>
            <w:pPr>
              <w:pStyle w:val="Compact"/>
              <w:jc w:val="left"/>
            </w:pPr>
            <w:r>
              <w:rPr>
                <w:rStyle w:val="VerbatimChar"/>
                <w:sz w:val="20"/>
              </w:rPr>
              <w:t xml:space="preserve">figure_language_concentration.png</w:t>
            </w:r>
          </w:p>
        </w:tc>
        <w:tc>
          <w:tcPr/>
          <w:p>
            <w:pPr>
              <w:pStyle w:val="Compact"/>
              <w:jc w:val="left"/>
            </w:pPr>
            <w:r>
              <w:rPr>
                <w:sz w:val="20"/>
              </w:rPr>
              <w:t xml:space="preserve">Output chart (300 dpi), placed on Slide 5</w:t>
            </w:r>
          </w:p>
        </w:tc>
      </w:tr>
      <w:tr>
        <w:tc>
          <w:tcPr/>
          <w:p>
            <w:pPr>
              <w:pStyle w:val="Compact"/>
              <w:jc w:val="left"/>
            </w:pPr>
            <w:r>
              <w:rPr>
                <w:rStyle w:val="VerbatimChar"/>
                <w:sz w:val="20"/>
              </w:rPr>
              <w:t xml:space="preserve">Consent Before Code Briefing.pptx</w:t>
            </w:r>
          </w:p>
        </w:tc>
        <w:tc>
          <w:tcPr/>
          <w:p>
            <w:pPr>
              <w:pStyle w:val="Compact"/>
              <w:jc w:val="left"/>
            </w:pPr>
            <w:r>
              <w:rPr>
                <w:sz w:val="20"/>
              </w:rPr>
              <w:t xml:space="preserve">Slide deck that presents and interprets the evidence</w:t>
            </w:r>
          </w:p>
        </w:tc>
      </w:tr>
    </w:tbl>
    <w:bookmarkEnd w:id="20"/>
    <w:bookmarkStart w:id="21" w:name="data-source"/>
    <w:p>
      <w:pPr>
        <w:pStyle w:val="Heading2"/>
      </w:pPr>
      <w:r>
        <w:t xml:space="preserve">2. Data source</w:t>
      </w:r>
    </w:p>
    <w:p>
      <w:pPr>
        <w:pStyle w:val="FirstParagraph"/>
      </w:pPr>
      <w:r>
        <w:t xml:space="preserve">The data come from an official national statistical release, chosen because it is public, authoritative and counts people using each language at home.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fill="EDEAE6"/>
          </w:tcPr>
          <w:p>
            <w:pPr>
              <w:pStyle w:val="Compact"/>
              <w:jc w:val="left"/>
            </w:pPr>
            <w:r>
              <w:rPr>
                <w:b/>
                <w:sz w:val="20"/>
              </w:rPr>
              <w:t xml:space="preserve">Item</w:t>
            </w:r>
          </w:p>
        </w:tc>
        <w:tc>
          <w:tcPr>
            <w:shd w:val="clear" w:fill="EDEAE6"/>
          </w:tcPr>
          <w:p>
            <w:pPr>
              <w:pStyle w:val="Compact"/>
              <w:jc w:val="left"/>
            </w:pPr>
            <w:r>
              <w:rPr>
                <w:b/>
                <w:sz w:val="20"/>
              </w:rPr>
              <w:t xml:space="preserve">Detail</w:t>
            </w:r>
          </w:p>
        </w:tc>
      </w:tr>
      <w:tr>
        <w:tc>
          <w:tcPr/>
          <w:p>
            <w:pPr>
              <w:pStyle w:val="Compact"/>
              <w:jc w:val="left"/>
            </w:pPr>
            <w:r>
              <w:rPr>
                <w:sz w:val="20"/>
              </w:rPr>
              <w:t xml:space="preserve">Publisher</w:t>
            </w:r>
          </w:p>
        </w:tc>
        <w:tc>
          <w:tcPr/>
          <w:p>
            <w:pPr>
              <w:pStyle w:val="Compact"/>
              <w:jc w:val="left"/>
            </w:pPr>
            <w:r>
              <w:rPr>
                <w:sz w:val="20"/>
              </w:rPr>
              <w:t xml:space="preserve">Australian Bureau of Statistics (ABS)</w:t>
            </w:r>
          </w:p>
        </w:tc>
      </w:tr>
      <w:tr>
        <w:tc>
          <w:tcPr/>
          <w:p>
            <w:pPr>
              <w:pStyle w:val="Compact"/>
              <w:jc w:val="left"/>
            </w:pPr>
            <w:r>
              <w:rPr>
                <w:sz w:val="20"/>
              </w:rPr>
              <w:t xml:space="preserve">Title</w:t>
            </w:r>
          </w:p>
        </w:tc>
        <w:tc>
          <w:tcPr/>
          <w:p>
            <w:pPr>
              <w:pStyle w:val="Compact"/>
              <w:jc w:val="left"/>
            </w:pPr>
            <w:r>
              <w:rPr>
                <w:iCs/>
                <w:i/>
                <w:sz w:val="20"/>
              </w:rPr>
              <w:t xml:space="preserve">Language Statistics for Aboriginal and Torres Strait Islander Peoples, 2021</w:t>
            </w:r>
            <w:r>
              <w:rPr>
                <w:sz w:val="20"/>
              </w:rPr>
              <w:t xml:space="preserve"> </w:t>
            </w:r>
            <w:r>
              <w:rPr>
                <w:sz w:val="20"/>
              </w:rPr>
              <w:t xml:space="preserve">(ABS, 2022a)</w:t>
            </w:r>
          </w:p>
        </w:tc>
      </w:tr>
      <w:tr>
        <w:tc>
          <w:tcPr/>
          <w:p>
            <w:pPr>
              <w:pStyle w:val="Compact"/>
              <w:jc w:val="left"/>
            </w:pPr>
            <w:r>
              <w:rPr>
                <w:sz w:val="20"/>
              </w:rPr>
              <w:t xml:space="preserve">URL</w:t>
            </w:r>
          </w:p>
        </w:tc>
        <w:tc>
          <w:tcPr/>
          <w:p>
            <w:pPr>
              <w:pStyle w:val="Compact"/>
              <w:jc w:val="left"/>
            </w:pPr>
            <w:r>
              <w:rPr>
                <w:sz w:val="20"/>
              </w:rPr>
              <w:t xml:space="preserve">https://www.abs.gov.au/statistics/people/aboriginal-and-torres-strait-islander-peoples/language-statistics-aboriginal-and-torres-strait-islander-peoples/2021</w:t>
            </w:r>
          </w:p>
        </w:tc>
      </w:tr>
      <w:tr>
        <w:tc>
          <w:tcPr/>
          <w:p>
            <w:pPr>
              <w:pStyle w:val="Compact"/>
              <w:jc w:val="left"/>
            </w:pPr>
            <w:r>
              <w:rPr>
                <w:sz w:val="20"/>
              </w:rPr>
              <w:t xml:space="preserve">Date accessed</w:t>
            </w:r>
          </w:p>
        </w:tc>
        <w:tc>
          <w:tcPr/>
          <w:p>
            <w:pPr>
              <w:pStyle w:val="Compact"/>
              <w:jc w:val="left"/>
            </w:pPr>
            <w:r>
              <w:rPr>
                <w:sz w:val="20"/>
              </w:rPr>
              <w:t xml:space="preserve">11 October 2026</w:t>
            </w:r>
          </w:p>
        </w:tc>
      </w:tr>
      <w:tr>
        <w:tc>
          <w:tcPr/>
          <w:p>
            <w:pPr>
              <w:pStyle w:val="Compact"/>
              <w:jc w:val="left"/>
            </w:pPr>
            <w:r>
              <w:rPr>
                <w:sz w:val="20"/>
              </w:rPr>
              <w:t xml:space="preserve">Collection</w:t>
            </w:r>
          </w:p>
        </w:tc>
        <w:tc>
          <w:tcPr/>
          <w:p>
            <w:pPr>
              <w:pStyle w:val="Compact"/>
              <w:jc w:val="left"/>
            </w:pPr>
            <w:r>
              <w:rPr>
                <w:sz w:val="20"/>
              </w:rPr>
              <w:t xml:space="preserve">2021 Census of Population and Housing; self-reported language used at home</w:t>
            </w:r>
          </w:p>
        </w:tc>
      </w:tr>
      <w:tr>
        <w:tc>
          <w:tcPr/>
          <w:p>
            <w:pPr>
              <w:pStyle w:val="Compact"/>
              <w:jc w:val="left"/>
            </w:pPr>
            <w:r>
              <w:rPr>
                <w:sz w:val="20"/>
              </w:rPr>
              <w:t xml:space="preserve">Unit of analysis</w:t>
            </w:r>
          </w:p>
        </w:tc>
        <w:tc>
          <w:tcPr/>
          <w:p>
            <w:pPr>
              <w:pStyle w:val="Compact"/>
              <w:jc w:val="left"/>
            </w:pPr>
            <w:r>
              <w:rPr>
                <w:sz w:val="20"/>
              </w:rPr>
              <w:t xml:space="preserve">Aggregate counts of people and languages; no individual-level or identifying data</w:t>
            </w:r>
          </w:p>
        </w:tc>
      </w:tr>
      <w:tr>
        <w:tc>
          <w:tcPr/>
          <w:p>
            <w:pPr>
              <w:pStyle w:val="Compact"/>
              <w:jc w:val="left"/>
            </w:pPr>
            <w:r>
              <w:rPr>
                <w:sz w:val="20"/>
              </w:rPr>
              <w:t xml:space="preserve">Licence</w:t>
            </w:r>
          </w:p>
        </w:tc>
        <w:tc>
          <w:tcPr/>
          <w:p>
            <w:pPr>
              <w:pStyle w:val="Compact"/>
              <w:jc w:val="left"/>
            </w:pPr>
            <w:r>
              <w:rPr>
                <w:sz w:val="20"/>
              </w:rPr>
              <w:t xml:space="preserve">Creative Commons Attribution 4.0 International (CC BY 4.0), the ABS’s standard licence; reuse requires attribution, given on the chart and slides</w:t>
            </w:r>
          </w:p>
        </w:tc>
      </w:tr>
    </w:tbl>
    <w:p>
      <w:pPr>
        <w:pStyle w:val="BodyText"/>
      </w:pPr>
      <w:r>
        <w:t xml:space="preserve">A second ABS release (ABS, 2022b) and the</w:t>
      </w:r>
      <w:r>
        <w:t xml:space="preserve"> </w:t>
      </w:r>
      <w:r>
        <w:rPr>
          <w:iCs/>
          <w:i/>
        </w:rPr>
        <w:t xml:space="preserve">National Indigenous Languages Report</w:t>
      </w:r>
      <w:r>
        <w:t xml:space="preserve"> </w:t>
      </w:r>
      <w:r>
        <w:t xml:space="preserve">(DITRDC, 2020) are cited on Slide 4 for context only. No figures from them enter the data file or the chart.</w:t>
      </w:r>
    </w:p>
    <w:bookmarkEnd w:id="21"/>
    <w:bookmarkStart w:id="22" w:name="Xdbb0c8b9063ed2508fef3c9cf115794810e9908"/>
    <w:p>
      <w:pPr>
        <w:pStyle w:val="Heading2"/>
      </w:pPr>
      <w:r>
        <w:t xml:space="preserve">3. Extraction: from the ABS release to the data file</w:t>
      </w:r>
    </w:p>
    <w:p>
      <w:pPr>
        <w:pStyle w:val="FirstParagraph"/>
      </w:pPr>
      <w:r>
        <w:t xml:space="preserve">Nine published figures were entered by hand into</w:t>
      </w:r>
      <w:r>
        <w:t xml:space="preserve"> </w:t>
      </w:r>
      <w:r>
        <w:rPr>
          <w:rStyle w:val="VerbatimChar"/>
        </w:rPr>
        <w:t xml:space="preserve">language_data.csv</w:t>
      </w:r>
      <w:r>
        <w:t xml:space="preserve">, exactly as the ABS reports them, with no rounding, weighting or adjustment. Each row records its source in a</w:t>
      </w:r>
      <w:r>
        <w:t xml:space="preserve"> </w:t>
      </w:r>
      <w:r>
        <w:rPr>
          <w:rStyle w:val="VerbatimChar"/>
        </w:rPr>
        <w:t xml:space="preserve">source</w:t>
      </w:r>
      <w:r>
        <w:t xml:space="preserve"> </w:t>
      </w:r>
      <w:r>
        <w:t xml:space="preserve">column, so every value can be checked against the release.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EDEAE6"/>
          </w:tcPr>
          <w:p>
            <w:pPr>
              <w:pStyle w:val="Compact"/>
              <w:jc w:val="left"/>
            </w:pPr>
            <w:r>
              <w:rPr>
                <w:b/>
                <w:sz w:val="20"/>
              </w:rPr>
              <w:t xml:space="preserve">Measure (CSV row)</w:t>
            </w:r>
          </w:p>
        </w:tc>
        <w:tc>
          <w:tcPr>
            <w:shd w:val="clear" w:fill="EDEAE6"/>
          </w:tcPr>
          <w:p>
            <w:pPr>
              <w:pStyle w:val="Compact"/>
              <w:jc w:val="left"/>
            </w:pPr>
            <w:r>
              <w:rPr>
                <w:b/>
                <w:sz w:val="20"/>
              </w:rPr>
              <w:t xml:space="preserve">Value</w:t>
            </w:r>
          </w:p>
        </w:tc>
        <w:tc>
          <w:tcPr>
            <w:shd w:val="clear" w:fill="EDEAE6"/>
          </w:tcPr>
          <w:p>
            <w:pPr>
              <w:pStyle w:val="Compact"/>
              <w:jc w:val="left"/>
            </w:pPr>
            <w:r>
              <w:rPr>
                <w:b/>
                <w:sz w:val="20"/>
              </w:rPr>
              <w:t xml:space="preserve">Used in chart?</w:t>
            </w:r>
          </w:p>
        </w:tc>
      </w:tr>
      <w:tr>
        <w:tc>
          <w:tcPr/>
          <w:p>
            <w:pPr>
              <w:pStyle w:val="Compact"/>
              <w:jc w:val="left"/>
            </w:pPr>
            <w:r>
              <w:rPr>
                <w:sz w:val="20"/>
              </w:rPr>
              <w:t xml:space="preserve">People using an Indigenous language at home, 2021</w:t>
            </w:r>
          </w:p>
        </w:tc>
        <w:tc>
          <w:tcPr/>
          <w:p>
            <w:pPr>
              <w:pStyle w:val="Compact"/>
              <w:jc w:val="left"/>
            </w:pPr>
            <w:r>
              <w:rPr>
                <w:sz w:val="20"/>
              </w:rPr>
              <w:t xml:space="preserve">76,978</w:t>
            </w:r>
          </w:p>
        </w:tc>
        <w:tc>
          <w:tcPr/>
          <w:p>
            <w:pPr>
              <w:pStyle w:val="Compact"/>
              <w:jc w:val="left"/>
            </w:pPr>
            <w:r>
              <w:rPr>
                <w:sz w:val="20"/>
              </w:rPr>
              <w:t xml:space="preserve">Yes (Panel B denominator)</w:t>
            </w:r>
          </w:p>
        </w:tc>
      </w:tr>
      <w:tr>
        <w:tc>
          <w:tcPr/>
          <w:p>
            <w:pPr>
              <w:pStyle w:val="Compact"/>
              <w:jc w:val="left"/>
            </w:pPr>
            <w:r>
              <w:rPr>
                <w:sz w:val="20"/>
              </w:rPr>
              <w:t xml:space="preserve">Share of Indigenous population, 2021</w:t>
            </w:r>
          </w:p>
        </w:tc>
        <w:tc>
          <w:tcPr/>
          <w:p>
            <w:pPr>
              <w:pStyle w:val="Compact"/>
              <w:jc w:val="left"/>
            </w:pPr>
            <w:r>
              <w:rPr>
                <w:sz w:val="20"/>
              </w:rPr>
              <w:t xml:space="preserve">9.5%</w:t>
            </w:r>
          </w:p>
        </w:tc>
        <w:tc>
          <w:tcPr/>
          <w:p>
            <w:pPr>
              <w:pStyle w:val="Compact"/>
              <w:jc w:val="left"/>
            </w:pPr>
            <w:r>
              <w:rPr>
                <w:sz w:val="20"/>
              </w:rPr>
              <w:t xml:space="preserve">No (cited on Slide 4)</w:t>
            </w:r>
          </w:p>
        </w:tc>
      </w:tr>
      <w:tr>
        <w:tc>
          <w:tcPr/>
          <w:p>
            <w:pPr>
              <w:pStyle w:val="Compact"/>
              <w:jc w:val="left"/>
            </w:pPr>
            <w:r>
              <w:rPr>
                <w:sz w:val="20"/>
              </w:rPr>
              <w:t xml:space="preserve">People using an Indigenous language at home, 2016</w:t>
            </w:r>
          </w:p>
        </w:tc>
        <w:tc>
          <w:tcPr/>
          <w:p>
            <w:pPr>
              <w:pStyle w:val="Compact"/>
              <w:jc w:val="left"/>
            </w:pPr>
            <w:r>
              <w:rPr>
                <w:sz w:val="20"/>
              </w:rPr>
              <w:t xml:space="preserve">63,754</w:t>
            </w:r>
          </w:p>
        </w:tc>
        <w:tc>
          <w:tcPr/>
          <w:p>
            <w:pPr>
              <w:pStyle w:val="Compact"/>
              <w:jc w:val="left"/>
            </w:pPr>
            <w:r>
              <w:rPr>
                <w:sz w:val="20"/>
              </w:rPr>
              <w:t xml:space="preserve">No (context only)</w:t>
            </w:r>
          </w:p>
        </w:tc>
      </w:tr>
      <w:tr>
        <w:tc>
          <w:tcPr/>
          <w:p>
            <w:pPr>
              <w:pStyle w:val="Compact"/>
              <w:jc w:val="left"/>
            </w:pPr>
            <w:r>
              <w:rPr>
                <w:sz w:val="20"/>
              </w:rPr>
              <w:t xml:space="preserve">Share of Indigenous population, 2016</w:t>
            </w:r>
          </w:p>
        </w:tc>
        <w:tc>
          <w:tcPr/>
          <w:p>
            <w:pPr>
              <w:pStyle w:val="Compact"/>
              <w:jc w:val="left"/>
            </w:pPr>
            <w:r>
              <w:rPr>
                <w:sz w:val="20"/>
              </w:rPr>
              <w:t xml:space="preserve">9.8%</w:t>
            </w:r>
          </w:p>
        </w:tc>
        <w:tc>
          <w:tcPr/>
          <w:p>
            <w:pPr>
              <w:pStyle w:val="Compact"/>
              <w:jc w:val="left"/>
            </w:pPr>
            <w:r>
              <w:rPr>
                <w:sz w:val="20"/>
              </w:rPr>
              <w:t xml:space="preserve">No (context only)</w:t>
            </w:r>
          </w:p>
        </w:tc>
      </w:tr>
      <w:tr>
        <w:tc>
          <w:tcPr/>
          <w:p>
            <w:pPr>
              <w:pStyle w:val="Compact"/>
              <w:jc w:val="left"/>
            </w:pPr>
            <w:r>
              <w:rPr>
                <w:sz w:val="20"/>
              </w:rPr>
              <w:t xml:space="preserve">Languages actively used (lower bound)</w:t>
            </w:r>
          </w:p>
        </w:tc>
        <w:tc>
          <w:tcPr/>
          <w:p>
            <w:pPr>
              <w:pStyle w:val="Compact"/>
              <w:jc w:val="left"/>
            </w:pPr>
            <w:r>
              <w:rPr>
                <w:sz w:val="20"/>
              </w:rPr>
              <w:t xml:space="preserve">151</w:t>
            </w:r>
          </w:p>
        </w:tc>
        <w:tc>
          <w:tcPr/>
          <w:p>
            <w:pPr>
              <w:pStyle w:val="Compact"/>
              <w:jc w:val="left"/>
            </w:pPr>
            <w:r>
              <w:rPr>
                <w:sz w:val="20"/>
              </w:rPr>
              <w:t xml:space="preserve">Yes (Panel A)</w:t>
            </w:r>
          </w:p>
        </w:tc>
      </w:tr>
      <w:tr>
        <w:tc>
          <w:tcPr/>
          <w:p>
            <w:pPr>
              <w:pStyle w:val="Compact"/>
              <w:jc w:val="left"/>
            </w:pPr>
            <w:r>
              <w:rPr>
                <w:sz w:val="20"/>
              </w:rPr>
              <w:t xml:space="preserve">Languages used by more than 1,000 people</w:t>
            </w:r>
          </w:p>
        </w:tc>
        <w:tc>
          <w:tcPr/>
          <w:p>
            <w:pPr>
              <w:pStyle w:val="Compact"/>
              <w:jc w:val="left"/>
            </w:pPr>
            <w:r>
              <w:rPr>
                <w:sz w:val="20"/>
              </w:rPr>
              <w:t xml:space="preserve">19</w:t>
            </w:r>
          </w:p>
        </w:tc>
        <w:tc>
          <w:tcPr/>
          <w:p>
            <w:pPr>
              <w:pStyle w:val="Compact"/>
              <w:jc w:val="left"/>
            </w:pPr>
            <w:r>
              <w:rPr>
                <w:sz w:val="20"/>
              </w:rPr>
              <w:t xml:space="preserve">Yes (Panel A)</w:t>
            </w:r>
          </w:p>
        </w:tc>
      </w:tr>
      <w:tr>
        <w:tc>
          <w:tcPr/>
          <w:p>
            <w:pPr>
              <w:pStyle w:val="Compact"/>
              <w:jc w:val="left"/>
            </w:pPr>
            <w:r>
              <w:rPr>
                <w:sz w:val="20"/>
              </w:rPr>
              <w:t xml:space="preserve">Home users: Yumplatok (Torres Strait Creole)</w:t>
            </w:r>
          </w:p>
        </w:tc>
        <w:tc>
          <w:tcPr/>
          <w:p>
            <w:pPr>
              <w:pStyle w:val="Compact"/>
              <w:jc w:val="left"/>
            </w:pPr>
            <w:r>
              <w:rPr>
                <w:sz w:val="20"/>
              </w:rPr>
              <w:t xml:space="preserve">7,596</w:t>
            </w:r>
          </w:p>
        </w:tc>
        <w:tc>
          <w:tcPr/>
          <w:p>
            <w:pPr>
              <w:pStyle w:val="Compact"/>
              <w:jc w:val="left"/>
            </w:pPr>
            <w:r>
              <w:rPr>
                <w:sz w:val="20"/>
              </w:rPr>
              <w:t xml:space="preserve">Yes (Panel B)</w:t>
            </w:r>
          </w:p>
        </w:tc>
      </w:tr>
      <w:tr>
        <w:tc>
          <w:tcPr/>
          <w:p>
            <w:pPr>
              <w:pStyle w:val="Compact"/>
              <w:jc w:val="left"/>
            </w:pPr>
            <w:r>
              <w:rPr>
                <w:sz w:val="20"/>
              </w:rPr>
              <w:t xml:space="preserve">Home users: Kriol</w:t>
            </w:r>
          </w:p>
        </w:tc>
        <w:tc>
          <w:tcPr/>
          <w:p>
            <w:pPr>
              <w:pStyle w:val="Compact"/>
              <w:jc w:val="left"/>
            </w:pPr>
            <w:r>
              <w:rPr>
                <w:sz w:val="20"/>
              </w:rPr>
              <w:t xml:space="preserve">7,403</w:t>
            </w:r>
          </w:p>
        </w:tc>
        <w:tc>
          <w:tcPr/>
          <w:p>
            <w:pPr>
              <w:pStyle w:val="Compact"/>
              <w:jc w:val="left"/>
            </w:pPr>
            <w:r>
              <w:rPr>
                <w:sz w:val="20"/>
              </w:rPr>
              <w:t xml:space="preserve">Yes (Panel B)</w:t>
            </w:r>
          </w:p>
        </w:tc>
      </w:tr>
      <w:tr>
        <w:tc>
          <w:tcPr/>
          <w:p>
            <w:pPr>
              <w:pStyle w:val="Compact"/>
              <w:jc w:val="left"/>
            </w:pPr>
            <w:r>
              <w:rPr>
                <w:sz w:val="20"/>
              </w:rPr>
              <w:t xml:space="preserve">Home users: Djambarrpuyngu</w:t>
            </w:r>
          </w:p>
        </w:tc>
        <w:tc>
          <w:tcPr/>
          <w:p>
            <w:pPr>
              <w:pStyle w:val="Compact"/>
              <w:jc w:val="left"/>
            </w:pPr>
            <w:r>
              <w:rPr>
                <w:sz w:val="20"/>
              </w:rPr>
              <w:t xml:space="preserve">3,839</w:t>
            </w:r>
          </w:p>
        </w:tc>
        <w:tc>
          <w:tcPr/>
          <w:p>
            <w:pPr>
              <w:pStyle w:val="Compact"/>
              <w:jc w:val="left"/>
            </w:pPr>
            <w:r>
              <w:rPr>
                <w:sz w:val="20"/>
              </w:rPr>
              <w:t xml:space="preserve">Yes (Panel B)</w:t>
            </w:r>
          </w:p>
        </w:tc>
      </w:tr>
    </w:tbl>
    <w:p>
      <w:pPr>
        <w:pStyle w:val="BodyText"/>
      </w:pPr>
      <w:r>
        <w:rPr>
          <w:bCs/>
          <w:b/>
        </w:rPr>
        <w:t xml:space="preserve">One interpretive decision.</w:t>
      </w:r>
      <w:r>
        <w:t xml:space="preserve"> </w:t>
      </w:r>
      <w:r>
        <w:t xml:space="preserve">The ABS states that</w:t>
      </w:r>
      <w:r>
        <w:t xml:space="preserve"> </w:t>
      </w:r>
      <w:r>
        <w:t xml:space="preserve">“</w:t>
      </w:r>
      <w:r>
        <w:t xml:space="preserve">over 150</w:t>
      </w:r>
      <w:r>
        <w:t xml:space="preserve">”</w:t>
      </w:r>
      <w:r>
        <w:t xml:space="preserve"> </w:t>
      </w:r>
      <w:r>
        <w:t xml:space="preserve">languages were actively used but gives no exact figure. The value 151 was entered as the smallest number consistent with that statement. This choice is recorded in the CSV’s source column and in the chart’s footnote. Because it is a lower bound, every share derived from it is conservative (see Section 6).</w:t>
      </w:r>
    </w:p>
    <w:bookmarkEnd w:id="22"/>
    <w:bookmarkStart w:id="23" w:name="processing-and-analysis"/>
    <w:p>
      <w:pPr>
        <w:pStyle w:val="Heading2"/>
      </w:pPr>
      <w:r>
        <w:t xml:space="preserve">4. Processing and analysis</w:t>
      </w:r>
    </w:p>
    <w:p>
      <w:pPr>
        <w:pStyle w:val="FirstParagraph"/>
      </w:pPr>
      <w:r>
        <w:t xml:space="preserve">Every number on the chart is calculated by</w:t>
      </w:r>
      <w:r>
        <w:t xml:space="preserve"> </w:t>
      </w:r>
      <w:r>
        <w:rPr>
          <w:rStyle w:val="VerbatimChar"/>
        </w:rPr>
        <w:t xml:space="preserve">make_chart.py</w:t>
      </w:r>
      <w:r>
        <w:t xml:space="preserve"> </w:t>
      </w:r>
      <w:r>
        <w:t xml:space="preserve">from the CSV at run time; none is typed into the chart by hand. The script runs in four steps:</w:t>
      </w:r>
    </w:p>
    <w:p>
      <w:pPr>
        <w:numPr>
          <w:ilvl w:val="0"/>
          <w:numId w:val="1001"/>
        </w:numPr>
        <w:pStyle w:val="Compact"/>
      </w:pPr>
      <w:r>
        <w:rPr>
          <w:bCs/>
          <w:b/>
        </w:rPr>
        <w:t xml:space="preserve">Load.</w:t>
      </w:r>
      <w:r>
        <w:t xml:space="preserve"> </w:t>
      </w:r>
      <w:r>
        <w:t xml:space="preserve">Reads</w:t>
      </w:r>
      <w:r>
        <w:t xml:space="preserve"> </w:t>
      </w:r>
      <w:r>
        <w:rPr>
          <w:rStyle w:val="VerbatimChar"/>
        </w:rPr>
        <w:t xml:space="preserve">language_data.csv</w:t>
      </w:r>
      <w:r>
        <w:t xml:space="preserve"> </w:t>
      </w:r>
      <w:r>
        <w:t xml:space="preserve">into a measure-to-value dictionary using Python’s standard</w:t>
      </w:r>
      <w:r>
        <w:t xml:space="preserve"> </w:t>
      </w:r>
      <w:r>
        <w:rPr>
          <w:rStyle w:val="VerbatimChar"/>
        </w:rPr>
        <w:t xml:space="preserve">csv</w:t>
      </w:r>
      <w:r>
        <w:t xml:space="preserve"> </w:t>
      </w:r>
      <w:r>
        <w:t xml:space="preserve">module.</w:t>
      </w:r>
    </w:p>
    <w:p>
      <w:pPr>
        <w:numPr>
          <w:ilvl w:val="0"/>
          <w:numId w:val="1001"/>
        </w:numPr>
        <w:pStyle w:val="Compact"/>
      </w:pPr>
      <w:r>
        <w:rPr>
          <w:bCs/>
          <w:b/>
        </w:rPr>
        <w:t xml:space="preserve">Derive.</w:t>
      </w:r>
      <w:r>
        <w:t xml:space="preserve"> </w:t>
      </w:r>
      <w:r>
        <w:t xml:space="preserve">Calculates the figures below from the published values.</w:t>
      </w:r>
    </w:p>
    <w:p>
      <w:pPr>
        <w:numPr>
          <w:ilvl w:val="0"/>
          <w:numId w:val="1001"/>
        </w:numPr>
        <w:pStyle w:val="Compact"/>
      </w:pPr>
      <w:r>
        <w:rPr>
          <w:bCs/>
          <w:b/>
        </w:rPr>
        <w:t xml:space="preserve">Check.</w:t>
      </w:r>
      <w:r>
        <w:t xml:space="preserve"> </w:t>
      </w:r>
      <w:r>
        <w:t xml:space="preserve">An</w:t>
      </w:r>
      <w:r>
        <w:t xml:space="preserve"> </w:t>
      </w:r>
      <w:r>
        <w:rPr>
          <w:rStyle w:val="VerbatimChar"/>
        </w:rPr>
        <w:t xml:space="preserve">assert</w:t>
      </w:r>
      <w:r>
        <w:t xml:space="preserve"> </w:t>
      </w:r>
      <w:r>
        <w:t xml:space="preserve">statement stops the script if the number of small languages falls below 132, guarding against a data-entry error.</w:t>
      </w:r>
    </w:p>
    <w:p>
      <w:pPr>
        <w:numPr>
          <w:ilvl w:val="0"/>
          <w:numId w:val="1001"/>
        </w:numPr>
        <w:pStyle w:val="Compact"/>
      </w:pPr>
      <w:r>
        <w:rPr>
          <w:bCs/>
          <w:b/>
        </w:rPr>
        <w:t xml:space="preserve">Report.</w:t>
      </w:r>
      <w:r>
        <w:t xml:space="preserve"> </w:t>
      </w:r>
      <w:r>
        <w:t xml:space="preserve">Prints the derived figures to the console so they can be compared with the chart and slide notes.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EDEAE6"/>
          </w:tcPr>
          <w:p>
            <w:pPr>
              <w:pStyle w:val="Compact"/>
              <w:jc w:val="left"/>
            </w:pPr>
            <w:r>
              <w:rPr>
                <w:b/>
                <w:sz w:val="20"/>
              </w:rPr>
              <w:t xml:space="preserve">Derived figure</w:t>
            </w:r>
          </w:p>
        </w:tc>
        <w:tc>
          <w:tcPr>
            <w:shd w:val="clear" w:fill="EDEAE6"/>
          </w:tcPr>
          <w:p>
            <w:pPr>
              <w:pStyle w:val="Compact"/>
              <w:jc w:val="left"/>
            </w:pPr>
            <w:r>
              <w:rPr>
                <w:b/>
                <w:sz w:val="20"/>
              </w:rPr>
              <w:t xml:space="preserve">Calculation</w:t>
            </w:r>
          </w:p>
        </w:tc>
        <w:tc>
          <w:tcPr>
            <w:shd w:val="clear" w:fill="EDEAE6"/>
          </w:tcPr>
          <w:p>
            <w:pPr>
              <w:pStyle w:val="Compact"/>
              <w:jc w:val="left"/>
            </w:pPr>
            <w:r>
              <w:rPr>
                <w:b/>
                <w:sz w:val="20"/>
              </w:rPr>
              <w:t xml:space="preserve">Result</w:t>
            </w:r>
          </w:p>
        </w:tc>
      </w:tr>
      <w:tr>
        <w:tc>
          <w:tcPr/>
          <w:p>
            <w:pPr>
              <w:pStyle w:val="Compact"/>
              <w:jc w:val="left"/>
            </w:pPr>
            <w:r>
              <w:rPr>
                <w:sz w:val="20"/>
              </w:rPr>
              <w:t xml:space="preserve">Languages with 1,000 or fewer home users</w:t>
            </w:r>
          </w:p>
        </w:tc>
        <w:tc>
          <w:tcPr/>
          <w:p>
            <w:pPr>
              <w:pStyle w:val="Compact"/>
              <w:jc w:val="left"/>
            </w:pPr>
            <w:r>
              <w:rPr>
                <w:sz w:val="20"/>
              </w:rPr>
              <w:t xml:space="preserve">151 − 19</w:t>
            </w:r>
          </w:p>
        </w:tc>
        <w:tc>
          <w:tcPr/>
          <w:p>
            <w:pPr>
              <w:pStyle w:val="Compact"/>
              <w:jc w:val="left"/>
            </w:pPr>
            <w:r>
              <w:rPr>
                <w:sz w:val="20"/>
              </w:rPr>
              <w:t xml:space="preserve">at least 132</w:t>
            </w:r>
          </w:p>
        </w:tc>
      </w:tr>
      <w:tr>
        <w:tc>
          <w:tcPr/>
          <w:p>
            <w:pPr>
              <w:pStyle w:val="Compact"/>
              <w:jc w:val="left"/>
            </w:pPr>
            <w:r>
              <w:rPr>
                <w:sz w:val="20"/>
              </w:rPr>
              <w:t xml:space="preserve">Share of languages that are small</w:t>
            </w:r>
          </w:p>
        </w:tc>
        <w:tc>
          <w:tcPr/>
          <w:p>
            <w:pPr>
              <w:pStyle w:val="Compact"/>
              <w:jc w:val="left"/>
            </w:pPr>
            <w:r>
              <w:rPr>
                <w:sz w:val="20"/>
              </w:rPr>
              <w:t xml:space="preserve">132 ÷ 151</w:t>
            </w:r>
          </w:p>
        </w:tc>
        <w:tc>
          <w:tcPr/>
          <w:p>
            <w:pPr>
              <w:pStyle w:val="Compact"/>
              <w:jc w:val="left"/>
            </w:pPr>
            <w:r>
              <w:rPr>
                <w:sz w:val="20"/>
              </w:rPr>
              <w:t xml:space="preserve">at least 87%</w:t>
            </w:r>
          </w:p>
        </w:tc>
      </w:tr>
      <w:tr>
        <w:tc>
          <w:tcPr/>
          <w:p>
            <w:pPr>
              <w:pStyle w:val="Compact"/>
              <w:jc w:val="left"/>
            </w:pPr>
            <w:r>
              <w:rPr>
                <w:sz w:val="20"/>
              </w:rPr>
              <w:t xml:space="preserve">Share of languages with more than 1,000 users</w:t>
            </w:r>
          </w:p>
        </w:tc>
        <w:tc>
          <w:tcPr/>
          <w:p>
            <w:pPr>
              <w:pStyle w:val="Compact"/>
              <w:jc w:val="left"/>
            </w:pPr>
            <w:r>
              <w:rPr>
                <w:sz w:val="20"/>
              </w:rPr>
              <w:t xml:space="preserve">19 ÷ 151</w:t>
            </w:r>
          </w:p>
        </w:tc>
        <w:tc>
          <w:tcPr/>
          <w:p>
            <w:pPr>
              <w:pStyle w:val="Compact"/>
              <w:jc w:val="left"/>
            </w:pPr>
            <w:r>
              <w:rPr>
                <w:sz w:val="20"/>
              </w:rPr>
              <w:t xml:space="preserve">at most 12.6%</w:t>
            </w:r>
          </w:p>
        </w:tc>
      </w:tr>
      <w:tr>
        <w:tc>
          <w:tcPr/>
          <w:p>
            <w:pPr>
              <w:pStyle w:val="Compact"/>
              <w:jc w:val="left"/>
            </w:pPr>
            <w:r>
              <w:rPr>
                <w:sz w:val="20"/>
              </w:rPr>
              <w:t xml:space="preserve">Home users of the three largest languages</w:t>
            </w:r>
          </w:p>
        </w:tc>
        <w:tc>
          <w:tcPr/>
          <w:p>
            <w:pPr>
              <w:pStyle w:val="Compact"/>
              <w:jc w:val="left"/>
            </w:pPr>
            <w:r>
              <w:rPr>
                <w:sz w:val="20"/>
              </w:rPr>
              <w:t xml:space="preserve">7,596 + 7,403 + 3,839</w:t>
            </w:r>
          </w:p>
        </w:tc>
        <w:tc>
          <w:tcPr/>
          <w:p>
            <w:pPr>
              <w:pStyle w:val="Compact"/>
              <w:jc w:val="left"/>
            </w:pPr>
            <w:r>
              <w:rPr>
                <w:sz w:val="20"/>
              </w:rPr>
              <w:t xml:space="preserve">18,838 people</w:t>
            </w:r>
          </w:p>
        </w:tc>
      </w:tr>
      <w:tr>
        <w:tc>
          <w:tcPr/>
          <w:p>
            <w:pPr>
              <w:pStyle w:val="Compact"/>
              <w:jc w:val="left"/>
            </w:pPr>
            <w:r>
              <w:rPr>
                <w:sz w:val="20"/>
              </w:rPr>
              <w:t xml:space="preserve">Top-three share of all home users</w:t>
            </w:r>
          </w:p>
        </w:tc>
        <w:tc>
          <w:tcPr/>
          <w:p>
            <w:pPr>
              <w:pStyle w:val="Compact"/>
              <w:jc w:val="left"/>
            </w:pPr>
            <w:r>
              <w:rPr>
                <w:sz w:val="20"/>
              </w:rPr>
              <w:t xml:space="preserve">18,838 ÷ 76,978</w:t>
            </w:r>
          </w:p>
        </w:tc>
        <w:tc>
          <w:tcPr/>
          <w:p>
            <w:pPr>
              <w:pStyle w:val="Compact"/>
              <w:jc w:val="left"/>
            </w:pPr>
            <w:r>
              <w:rPr>
                <w:sz w:val="20"/>
              </w:rPr>
              <w:t xml:space="preserve">24.5%</w:t>
            </w:r>
          </w:p>
        </w:tc>
      </w:tr>
    </w:tbl>
    <w:p>
      <w:pPr>
        <w:pStyle w:val="BodyText"/>
      </w:pPr>
      <w:r>
        <w:t xml:space="preserve">The script was run on 14 October 2026 and printed:</w:t>
      </w:r>
      <w:r>
        <w:t xml:space="preserve"> </w:t>
      </w:r>
      <w:r>
        <w:t xml:space="preserve">“</w:t>
      </w:r>
      <w:r>
        <w:t xml:space="preserve">at least 132</w:t>
      </w:r>
      <w:r>
        <w:t xml:space="preserve">”</w:t>
      </w:r>
      <w:r>
        <w:t xml:space="preserve">,</w:t>
      </w:r>
      <w:r>
        <w:t xml:space="preserve"> </w:t>
      </w:r>
      <w:r>
        <w:t xml:space="preserve">“</w:t>
      </w:r>
      <w:r>
        <w:t xml:space="preserve">at most 12.6%</w:t>
      </w:r>
      <w:r>
        <w:t xml:space="preserve">”</w:t>
      </w:r>
      <w:r>
        <w:t xml:space="preserve"> </w:t>
      </w:r>
      <w:r>
        <w:t xml:space="preserve">and</w:t>
      </w:r>
      <w:r>
        <w:t xml:space="preserve"> </w:t>
      </w:r>
      <w:r>
        <w:t xml:space="preserve">“</w:t>
      </w:r>
      <w:r>
        <w:t xml:space="preserve">18,838 people = 24.5% of 76,978</w:t>
      </w:r>
      <w:r>
        <w:t xml:space="preserve">”</w:t>
      </w:r>
      <w:r>
        <w:t xml:space="preserve">, matching the chart and the Slide 5 speaker notes.</w:t>
      </w:r>
    </w:p>
    <w:bookmarkEnd w:id="23"/>
    <w:bookmarkStart w:id="24" w:name="visualisation"/>
    <w:p>
      <w:pPr>
        <w:pStyle w:val="Heading2"/>
      </w:pPr>
      <w:r>
        <w:t xml:space="preserve">5. Visualisation</w:t>
      </w:r>
    </w:p>
    <w:p>
      <w:pPr>
        <w:pStyle w:val="FirstParagraph"/>
      </w:pPr>
      <w:r>
        <w:t xml:space="preserve">The script produces one figure,</w:t>
      </w:r>
      <w:r>
        <w:t xml:space="preserve"> </w:t>
      </w:r>
      <w:r>
        <w:rPr>
          <w:rStyle w:val="VerbatimChar"/>
        </w:rPr>
        <w:t xml:space="preserve">figure_language_concentration.png</w:t>
      </w:r>
      <w:r>
        <w:t xml:space="preserve"> </w:t>
      </w:r>
      <w:r>
        <w:t xml:space="preserve">(300 dpi), which appears unaltered on Slide 5.</w:t>
      </w:r>
    </w:p>
    <w:p>
      <w:pPr>
        <w:numPr>
          <w:ilvl w:val="0"/>
          <w:numId w:val="1002"/>
        </w:numPr>
        <w:pStyle w:val="Compact"/>
      </w:pPr>
      <w:r>
        <w:rPr>
          <w:bCs/>
          <w:b/>
        </w:rPr>
        <w:t xml:space="preserve">Panel A</w:t>
      </w:r>
      <w:r>
        <w:t xml:space="preserve"> </w:t>
      </w:r>
      <w:r>
        <w:t xml:space="preserve">compares the 19 languages with more than 1,000 home users against the at least 132 with 1,000 or fewer.</w:t>
      </w:r>
    </w:p>
    <w:p>
      <w:pPr>
        <w:numPr>
          <w:ilvl w:val="0"/>
          <w:numId w:val="1002"/>
        </w:numPr>
        <w:pStyle w:val="Compact"/>
      </w:pPr>
      <w:r>
        <w:rPr>
          <w:bCs/>
          <w:b/>
        </w:rPr>
        <w:t xml:space="preserve">Panel B</w:t>
      </w:r>
      <w:r>
        <w:t xml:space="preserve"> </w:t>
      </w:r>
      <w:r>
        <w:t xml:space="preserve">shows home users of the three most-used languages and annotates their combined 24.5% share.</w:t>
      </w:r>
    </w:p>
    <w:p>
      <w:pPr>
        <w:numPr>
          <w:ilvl w:val="0"/>
          <w:numId w:val="1002"/>
        </w:numPr>
        <w:pStyle w:val="Compact"/>
      </w:pPr>
      <w:r>
        <w:rPr>
          <w:bCs/>
          <w:b/>
        </w:rPr>
        <w:t xml:space="preserve">Design choices.</w:t>
      </w:r>
      <w:r>
        <w:t xml:space="preserve"> </w:t>
      </w:r>
      <w:r>
        <w:t xml:space="preserve">Horizontal bars keep long labels readable. A single ochre highlight marks the key-message bar; all context bars are grey. Axes start at zero so bar lengths are not exaggerated.</w:t>
      </w:r>
    </w:p>
    <w:p>
      <w:pPr>
        <w:numPr>
          <w:ilvl w:val="0"/>
          <w:numId w:val="1002"/>
        </w:numPr>
        <w:pStyle w:val="Compact"/>
      </w:pPr>
      <w:r>
        <w:rPr>
          <w:bCs/>
          <w:b/>
        </w:rPr>
        <w:t xml:space="preserve">Attribution.</w:t>
      </w:r>
      <w:r>
        <w:t xml:space="preserve"> </w:t>
      </w:r>
      <w:r>
        <w:t xml:space="preserve">The source (ABS, 2022a), the 151 lower-bound note and the caveat</w:t>
      </w:r>
      <w:r>
        <w:t xml:space="preserve"> </w:t>
      </w:r>
      <w:r>
        <w:t xml:space="preserve">“</w:t>
      </w:r>
      <w:r>
        <w:t xml:space="preserve">Census counts home use, not fluency</w:t>
      </w:r>
      <w:r>
        <w:t xml:space="preserve">”</w:t>
      </w:r>
      <w:r>
        <w:t xml:space="preserve"> </w:t>
      </w:r>
      <w:r>
        <w:t xml:space="preserve">are printed on the figure itself, so they travel with it if it is reused.</w:t>
      </w:r>
    </w:p>
    <w:bookmarkEnd w:id="24"/>
    <w:bookmarkStart w:id="25" w:name="X473499d01d14a4508a1842bfb6f9f3c7b352313"/>
    <w:p>
      <w:pPr>
        <w:pStyle w:val="Heading2"/>
      </w:pPr>
      <w:r>
        <w:t xml:space="preserve">6. Exclusions, limitations and ethical handling</w:t>
      </w:r>
    </w:p>
    <w:p>
      <w:pPr>
        <w:pStyle w:val="FirstParagraph"/>
      </w:pPr>
      <w:r>
        <w:rPr>
          <w:bCs/>
          <w:b/>
        </w:rPr>
        <w:t xml:space="preserve">Excluded.</w:t>
      </w:r>
      <w:r>
        <w:t xml:space="preserve"> </w:t>
      </w:r>
      <w:r>
        <w:t xml:space="preserve">Language counts from secondary websites were left out because they could not be verified against the ABS. Figures from the fourth National Indigenous Languages Survey (NILS4: 177 languages, 45 strong) are discussed on Slide 7 but not charted, because the Productivity Commission (2026) notes they are not comparable with earlier baselines.</w:t>
      </w:r>
    </w:p>
    <w:p>
      <w:pPr>
        <w:pStyle w:val="BodyText"/>
      </w:pPr>
      <w:r>
        <w:rPr>
          <w:bCs/>
          <w:b/>
        </w:rPr>
        <w:t xml:space="preserve">Limitations of the data.</w:t>
      </w:r>
    </w:p>
    <w:p>
      <w:pPr>
        <w:numPr>
          <w:ilvl w:val="0"/>
          <w:numId w:val="1003"/>
        </w:numPr>
        <w:pStyle w:val="Compact"/>
      </w:pPr>
      <w:r>
        <w:rPr>
          <w:iCs/>
          <w:i/>
        </w:rPr>
        <w:t xml:space="preserve">Home use is not fluency.</w:t>
      </w:r>
      <w:r>
        <w:t xml:space="preserve"> </w:t>
      </w:r>
      <w:r>
        <w:t xml:space="preserve">The Census records language used at home, not proficiency or custodial authority, so the number of people able to validate AI output may be smaller than shown.</w:t>
      </w:r>
    </w:p>
    <w:p>
      <w:pPr>
        <w:numPr>
          <w:ilvl w:val="0"/>
          <w:numId w:val="1003"/>
        </w:numPr>
        <w:pStyle w:val="Compact"/>
      </w:pPr>
      <w:r>
        <w:rPr>
          <w:iCs/>
          <w:i/>
        </w:rPr>
        <w:t xml:space="preserve">Self-report and Census coverage.</w:t>
      </w:r>
      <w:r>
        <w:t xml:space="preserve"> </w:t>
      </w:r>
      <w:r>
        <w:t xml:space="preserve">Answers are self-reported, and the Census undercounts some remote communities.</w:t>
      </w:r>
    </w:p>
    <w:p>
      <w:pPr>
        <w:numPr>
          <w:ilvl w:val="0"/>
          <w:numId w:val="1003"/>
        </w:numPr>
        <w:pStyle w:val="Compact"/>
      </w:pPr>
      <w:r>
        <w:rPr>
          <w:iCs/>
          <w:i/>
        </w:rPr>
        <w:t xml:space="preserve">Lower bound.</w:t>
      </w:r>
      <w:r>
        <w:t xml:space="preserve"> </w:t>
      </w:r>
      <w:r>
        <w:t xml:space="preserve">Using 151 for</w:t>
      </w:r>
      <w:r>
        <w:t xml:space="preserve"> </w:t>
      </w:r>
      <w:r>
        <w:t xml:space="preserve">“</w:t>
      </w:r>
      <w:r>
        <w:t xml:space="preserve">over 150</w:t>
      </w:r>
      <w:r>
        <w:t xml:space="preserve">”</w:t>
      </w:r>
      <w:r>
        <w:t xml:space="preserve"> </w:t>
      </w:r>
      <w:r>
        <w:t xml:space="preserve">means the 132 and 87% figures are minimums; the true share of small languages can only be higher.</w:t>
      </w:r>
    </w:p>
    <w:p>
      <w:pPr>
        <w:numPr>
          <w:ilvl w:val="0"/>
          <w:numId w:val="1003"/>
        </w:numPr>
        <w:pStyle w:val="Compact"/>
      </w:pPr>
      <w:r>
        <w:rPr>
          <w:iCs/>
          <w:i/>
        </w:rPr>
        <w:t xml:space="preserve">Two language counts.</w:t>
      </w:r>
      <w:r>
        <w:t xml:space="preserve"> </w:t>
      </w:r>
      <w:r>
        <w:t xml:space="preserve">Slide 4 cites 167 languages reported in the Census, while the chart uses the narrower</w:t>
      </w:r>
      <w:r>
        <w:t xml:space="preserve"> </w:t>
      </w:r>
      <w:r>
        <w:t xml:space="preserve">“</w:t>
      </w:r>
      <w:r>
        <w:t xml:space="preserve">over 150 actively used</w:t>
      </w:r>
      <w:r>
        <w:t xml:space="preserve">”</w:t>
      </w:r>
      <w:r>
        <w:t xml:space="preserve"> </w:t>
      </w:r>
      <w:r>
        <w:t xml:space="preserve">measure. They are different ABS measures and are not combined.</w:t>
      </w:r>
    </w:p>
    <w:p>
      <w:pPr>
        <w:pStyle w:val="FirstParagraph"/>
      </w:pPr>
      <w:r>
        <w:rPr>
          <w:bCs/>
          <w:b/>
        </w:rPr>
        <w:t xml:space="preserve">Ethical handling.</w:t>
      </w:r>
      <w:r>
        <w:t xml:space="preserve"> </w:t>
      </w:r>
      <w:r>
        <w:t xml:space="preserve">The data are aggregate, public and non-identifying, so no individual can be identified and no ethics approval was required to reuse them. The figures nonetheless describe Aboriginal and Torres Strait Islander peoples’ cultural knowledge. They were handled in line with the CARE principles (Carroll et al., 2020) and the AIATSIS Code of Ethics (2020): they are used only to argue for community consent and benefit, are attributed to their source, and are not used to characterise or rank particular communities.</w:t>
      </w:r>
    </w:p>
    <w:bookmarkEnd w:id="25"/>
    <w:bookmarkStart w:id="26" w:name="tools-and-generative-ai-declaration"/>
    <w:p>
      <w:pPr>
        <w:pStyle w:val="Heading2"/>
      </w:pPr>
      <w:r>
        <w:t xml:space="preserve">7. Tools and generative AI declaration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EDEAE6"/>
          </w:tcPr>
          <w:p>
            <w:pPr>
              <w:pStyle w:val="Compact"/>
              <w:jc w:val="left"/>
            </w:pPr>
            <w:r>
              <w:rPr>
                <w:b/>
                <w:sz w:val="20"/>
              </w:rPr>
              <w:t xml:space="preserve">Tool</w:t>
            </w:r>
          </w:p>
        </w:tc>
        <w:tc>
          <w:tcPr>
            <w:shd w:val="clear" w:fill="EDEAE6"/>
          </w:tcPr>
          <w:p>
            <w:pPr>
              <w:pStyle w:val="Compact"/>
              <w:jc w:val="left"/>
            </w:pPr>
            <w:r>
              <w:rPr>
                <w:b/>
                <w:sz w:val="20"/>
              </w:rPr>
              <w:t xml:space="preserve">Version</w:t>
            </w:r>
          </w:p>
        </w:tc>
        <w:tc>
          <w:tcPr>
            <w:shd w:val="clear" w:fill="EDEAE6"/>
          </w:tcPr>
          <w:p>
            <w:pPr>
              <w:pStyle w:val="Compact"/>
              <w:jc w:val="left"/>
            </w:pPr>
            <w:r>
              <w:rPr>
                <w:b/>
                <w:sz w:val="20"/>
              </w:rPr>
              <w:t xml:space="preserve">Used for</w:t>
            </w:r>
          </w:p>
        </w:tc>
      </w:tr>
      <w:tr>
        <w:tc>
          <w:tcPr/>
          <w:p>
            <w:pPr>
              <w:pStyle w:val="Compact"/>
              <w:jc w:val="left"/>
            </w:pPr>
            <w:r>
              <w:rPr>
                <w:sz w:val="20"/>
              </w:rPr>
              <w:t xml:space="preserve">Python</w:t>
            </w:r>
          </w:p>
        </w:tc>
        <w:tc>
          <w:tcPr/>
          <w:p>
            <w:pPr>
              <w:pStyle w:val="Compact"/>
              <w:jc w:val="left"/>
            </w:pPr>
            <w:r>
              <w:rPr>
                <w:sz w:val="20"/>
              </w:rPr>
              <w:t xml:space="preserve">3.14 (64-bit)</w:t>
            </w:r>
          </w:p>
        </w:tc>
        <w:tc>
          <w:tcPr/>
          <w:p>
            <w:pPr>
              <w:pStyle w:val="Compact"/>
              <w:jc w:val="left"/>
            </w:pPr>
            <w:r>
              <w:rPr>
                <w:sz w:val="20"/>
              </w:rPr>
              <w:t xml:space="preserve">Running the analysis script</w:t>
            </w:r>
          </w:p>
        </w:tc>
      </w:tr>
      <w:tr>
        <w:tc>
          <w:tcPr/>
          <w:p>
            <w:pPr>
              <w:pStyle w:val="Compact"/>
              <w:jc w:val="left"/>
            </w:pPr>
            <w:r>
              <w:rPr>
                <w:sz w:val="20"/>
              </w:rPr>
              <w:t xml:space="preserve">matplotlib</w:t>
            </w:r>
          </w:p>
        </w:tc>
        <w:tc>
          <w:tcPr/>
          <w:p>
            <w:pPr>
              <w:pStyle w:val="Compact"/>
              <w:jc w:val="left"/>
            </w:pPr>
            <w:r>
              <w:rPr>
                <w:bCs/>
                <w:b/>
                <w:sz w:val="20"/>
              </w:rPr>
              <w:t xml:space="preserve">[insert version]</w:t>
            </w:r>
          </w:p>
        </w:tc>
        <w:tc>
          <w:tcPr/>
          <w:p>
            <w:pPr>
              <w:pStyle w:val="Compact"/>
              <w:jc w:val="left"/>
            </w:pPr>
            <w:r>
              <w:rPr>
                <w:sz w:val="20"/>
              </w:rPr>
              <w:t xml:space="preserve">Drawing the chart</w:t>
            </w:r>
          </w:p>
        </w:tc>
      </w:tr>
      <w:tr>
        <w:tc>
          <w:tcPr/>
          <w:p>
            <w:pPr>
              <w:pStyle w:val="Compact"/>
              <w:jc w:val="left"/>
            </w:pPr>
            <w:r>
              <w:rPr>
                <w:sz w:val="20"/>
              </w:rPr>
              <w:t xml:space="preserve">Visual Studio Code</w:t>
            </w:r>
          </w:p>
        </w:tc>
        <w:tc>
          <w:tcPr/>
          <w:p>
            <w:pPr>
              <w:pStyle w:val="Compact"/>
              <w:jc w:val="left"/>
            </w:pPr>
            <w:r>
              <w:rPr>
                <w:sz w:val="20"/>
              </w:rPr>
              <w:t xml:space="preserve">—</w:t>
            </w:r>
          </w:p>
        </w:tc>
        <w:tc>
          <w:tcPr/>
          <w:p>
            <w:pPr>
              <w:pStyle w:val="Compact"/>
              <w:jc w:val="left"/>
            </w:pPr>
            <w:r>
              <w:rPr>
                <w:sz w:val="20"/>
              </w:rPr>
              <w:t xml:space="preserve">Editing and running the script</w:t>
            </w:r>
          </w:p>
        </w:tc>
      </w:tr>
      <w:tr>
        <w:tc>
          <w:tcPr/>
          <w:p>
            <w:pPr>
              <w:pStyle w:val="Compact"/>
              <w:jc w:val="left"/>
            </w:pPr>
            <w:r>
              <w:rPr>
                <w:sz w:val="20"/>
              </w:rPr>
              <w:t xml:space="preserve">Microsoft PowerPoint</w:t>
            </w:r>
          </w:p>
        </w:tc>
        <w:tc>
          <w:tcPr/>
          <w:p>
            <w:pPr>
              <w:pStyle w:val="Compact"/>
              <w:jc w:val="left"/>
            </w:pPr>
            <w:r>
              <w:rPr>
                <w:sz w:val="20"/>
              </w:rPr>
              <w:t xml:space="preserve">—</w:t>
            </w:r>
          </w:p>
        </w:tc>
        <w:tc>
          <w:tcPr/>
          <w:p>
            <w:pPr>
              <w:pStyle w:val="Compact"/>
              <w:jc w:val="left"/>
            </w:pPr>
            <w:r>
              <w:rPr>
                <w:sz w:val="20"/>
              </w:rPr>
              <w:t xml:space="preserve">Building the slide deck</w:t>
            </w:r>
          </w:p>
        </w:tc>
      </w:tr>
    </w:tbl>
    <w:p>
      <w:pPr>
        <w:pStyle w:val="BodyText"/>
      </w:pPr>
      <w:r>
        <w:rPr>
          <w:bCs/>
          <w:b/>
        </w:rPr>
        <w:t xml:space="preserve">Generative AI use:</w:t>
      </w:r>
      <w:r>
        <w:t xml:space="preserve"> </w:t>
      </w:r>
      <w:r>
        <w:rPr>
          <w:bCs/>
          <w:b/>
        </w:rPr>
        <w:t xml:space="preserve">[State which AI tools you used, if any, and for what (e.g. drafting code, checking calculations, wording this statement). State that you checked every figure against the ABS release yourself. If your unit requires a particular declaration wording, use it here.]</w:t>
      </w:r>
    </w:p>
    <w:bookmarkEnd w:id="26"/>
    <w:bookmarkStart w:id="27" w:name="references"/>
    <w:p>
      <w:pPr>
        <w:pStyle w:val="Heading2"/>
      </w:pPr>
      <w:r>
        <w:t xml:space="preserve">References</w:t>
      </w:r>
    </w:p>
    <w:p>
      <w:pPr>
        <w:pStyle w:val="Bibliography"/>
      </w:pPr>
      <w:r>
        <w:t xml:space="preserve">Australian Bureau of Statistics. (2022a).</w:t>
      </w:r>
      <w:r>
        <w:t xml:space="preserve"> </w:t>
      </w:r>
      <w:r>
        <w:rPr>
          <w:iCs/>
          <w:i/>
        </w:rPr>
        <w:t xml:space="preserve">Language statistics for Aboriginal and Torres Strait Islander peoples, 2021</w:t>
      </w:r>
      <w:r>
        <w:t xml:space="preserve">. https://www.abs.gov.au/statistics/people/aboriginal-and-torres-strait-islander-peoples/language-statistics-aboriginal-and-torres-strait-islander-peoples/2021</w:t>
      </w:r>
    </w:p>
    <w:p>
      <w:pPr>
        <w:pStyle w:val="Bibliography"/>
      </w:pPr>
      <w:r>
        <w:t xml:space="preserve">Australian Bureau of Statistics. (2022b).</w:t>
      </w:r>
      <w:r>
        <w:t xml:space="preserve"> </w:t>
      </w:r>
      <w:r>
        <w:rPr>
          <w:iCs/>
          <w:i/>
        </w:rPr>
        <w:t xml:space="preserve">Aboriginal and Torres Strait Islander people: Census, 2021</w:t>
      </w:r>
      <w:r>
        <w:t xml:space="preserve">. https://www.abs.gov.au/statistics/people/aboriginal-and-torres-strait-islander-peoples/aboriginal-and-torres-strait-islander-people-census/2021</w:t>
      </w:r>
    </w:p>
    <w:p>
      <w:pPr>
        <w:pStyle w:val="Bibliography"/>
      </w:pPr>
      <w:r>
        <w:t xml:space="preserve">Australian Institute of Aboriginal and Torres Strait Islander Studies. (2020).</w:t>
      </w:r>
      <w:r>
        <w:t xml:space="preserve"> </w:t>
      </w:r>
      <w:r>
        <w:rPr>
          <w:iCs/>
          <w:i/>
        </w:rPr>
        <w:t xml:space="preserve">AIATSIS code of ethics for Aboriginal and Torres Strait Islander research</w:t>
      </w:r>
      <w:r>
        <w:t xml:space="preserve">. https://aiatsis.gov.au/sites/default/files/2022-02/aiatsis-code-ethics-jan22.pdf</w:t>
      </w:r>
    </w:p>
    <w:p>
      <w:pPr>
        <w:pStyle w:val="Bibliography"/>
      </w:pPr>
      <w:r>
        <w:t xml:space="preserve">Carroll, S. R., Garba, I., Figueroa-Rodríguez, O. L., Holbrook, J., Lovett, R., Materechera, S., Parsons, M., Raseroka, K., Rodriguez-Lonebear, D., Rowe, R., Sara, R., Walker, J. D., Anderson, J., &amp; Hudson, M. (2020). The CARE principles for Indigenous data governance.</w:t>
      </w:r>
      <w:r>
        <w:t xml:space="preserve"> </w:t>
      </w:r>
      <w:r>
        <w:rPr>
          <w:iCs/>
          <w:i/>
        </w:rPr>
        <w:t xml:space="preserve">Data Science Journal, 19</w:t>
      </w:r>
      <w:r>
        <w:t xml:space="preserve">(1), 43. https://doi.org/10.5334/dsj-2020-043</w:t>
      </w:r>
    </w:p>
    <w:p>
      <w:pPr>
        <w:pStyle w:val="Bibliography"/>
      </w:pPr>
      <w:r>
        <w:t xml:space="preserve">Department of Infrastructure, Transport, Regional Development and Communications. (2020).</w:t>
      </w:r>
      <w:r>
        <w:t xml:space="preserve"> </w:t>
      </w:r>
      <w:r>
        <w:rPr>
          <w:iCs/>
          <w:i/>
        </w:rPr>
        <w:t xml:space="preserve">National Indigenous languages report</w:t>
      </w:r>
      <w:r>
        <w:t xml:space="preserve">. https://www.arts.gov.au/what-we-do/indigenous-arts-and-languages/national-indigenous-languages-report</w:t>
      </w:r>
    </w:p>
    <w:p>
      <w:pPr>
        <w:pStyle w:val="Bibliography"/>
      </w:pPr>
      <w:r>
        <w:t xml:space="preserve">Productivity Commission. (2026).</w:t>
      </w:r>
      <w:r>
        <w:t xml:space="preserve"> </w:t>
      </w:r>
      <w:r>
        <w:rPr>
          <w:iCs/>
          <w:i/>
        </w:rPr>
        <w:t xml:space="preserve">Closing the Gap information repository: Socio-economic outcome area 16 dashboard</w:t>
      </w:r>
      <w:r>
        <w:t xml:space="preserve">. https://www.pc.gov.au/closing-the-gap-data/dashboard/socioeconomic/outcome-area16</w:t>
      </w:r>
    </w:p>
    <w:bookmarkEnd w:id="27"/>
    <w:sectPr>
      <w:pgSz w:w="11906" w:h="16838"/>
      <w:pgMar w:left="1247" w:right="1247"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color w:val="1F1F1F"/>
      <w:sz w:val="22"/>
    </w:rPr>
  </w:style>
  <w:style w:styleId="BodyText" w:type="paragraph">
    <w:name w:val="Body Text"/>
    <w:basedOn w:val="Normal"/>
    <w:link w:val="BodyTextChar"/>
    <w:pPr>
      <w:spacing w:after="180" w:before="180"/>
    </w:pPr>
    <w:qFormat/>
    <w:rPr>
      <w:rFonts w:ascii="Calibri" w:hAnsi="Calibri" w:eastAsia="Calibri"/>
      <w:color w:val="1F1F1F"/>
      <w:sz w:val="22"/>
    </w:rPr>
  </w:style>
  <w:style w:customStyle="1" w:styleId="FirstParagraph" w:type="paragraph">
    <w:name w:val="First Paragraph"/>
    <w:basedOn w:val="BodyText"/>
    <w:next w:val="BodyText"/>
    <w:qFormat/>
    <w:rPr>
      <w:rFonts w:ascii="Calibri" w:hAnsi="Calibri" w:eastAsia="Calibri"/>
      <w:color w:val="1F1F1F"/>
      <w:sz w:val="22"/>
    </w:rPr>
  </w:style>
  <w:style w:customStyle="1" w:styleId="Compact" w:type="paragraph">
    <w:name w:val="Compact"/>
    <w:basedOn w:val="BodyText"/>
    <w:qFormat/>
    <w:pPr>
      <w:spacing w:after="36" w:before="36"/>
    </w:pPr>
    <w:rPr>
      <w:rFonts w:ascii="Calibri" w:hAnsi="Calibri" w:eastAsia="Calibri"/>
      <w:color w:val="1F1F1F"/>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eastAsia="Calibri"/>
      <w:b/>
      <w:bCs/>
      <w:color w:val="1F1F1F"/>
      <w:sz w:val="36"/>
      <w:szCs w:val="36"/>
    </w:rPr>
  </w:style>
  <w:style w:styleId="Subtitle" w:type="paragraph">
    <w:name w:val="Subtitle"/>
    <w:basedOn w:val="Title"/>
    <w:next w:val="BodyText"/>
    <w:qFormat/>
    <w:pPr>
      <w:keepNext/>
      <w:keepLines/>
      <w:spacing w:after="240" w:before="240"/>
      <w:jc w:val="center"/>
    </w:pPr>
    <w:rPr>
      <w:rFonts w:ascii="Calibri" w:hAnsi="Calibri" w:eastAsia="Calibri"/>
      <w:color w:val="555555"/>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ind w:left="720" w:hanging="720"/>
    </w:pPr>
    <w:rPr>
      <w:rFonts w:ascii="Calibri" w:hAnsi="Calibri" w:eastAsia="Calibri"/>
      <w:color w:val="1F1F1F"/>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eastAsia="Calibri"/>
      <w:b/>
      <w:bCs/>
      <w:color w:val="1F1F1F"/>
      <w:sz w:val="2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Provenance Statement – Consent Before Code Briefing</dc:title>
  <dc:creator/>
  <cp:keywords/>
  <dcterms:created xsi:type="dcterms:W3CDTF">2026-10-20T05:16:12Z</dcterms:created>
  <dcterms:modified xsi:type="dcterms:W3CDTF">2026-10-20T05:16:12Z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[Student Name] · [Student ID] · SCI6120 · 20 October 2026</vt:lpwstr>
  </property>
</Properties>
</file>