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Speaking Notes</w:t>
      </w:r>
    </w:p>
    <w:p>
      <w:pPr>
        <w:spacing w:after="120"/>
      </w:pPr>
      <w:r>
        <w:rPr>
          <w:b/>
          <w:bCs/>
        </w:rPr>
        <w:t xml:space="preserve">Reckitt Benckiser Group plc: Financial Analysis for Potential Investors</w:t>
      </w:r>
    </w:p>
    <w:p>
      <w:pPr>
        <w:pBdr>
          <w:bottom w:val="single" w:color="D6006E" w:sz="6" w:space="4"/>
        </w:pBdr>
        <w:spacing w:after="240"/>
      </w:pPr>
      <w:r>
        <w:rPr>
          <w:color w:val="555555"/>
        </w:rPr>
        <w:t xml:space="preserve">MBA7060 Financial Management and Decision Making, Assessment 1  |  16 slides  |  45 words per slide</w:t>
      </w:r>
    </w:p>
    <w:p>
      <w:pPr>
        <w:pStyle w:val="Heading2"/>
        <w:spacing w:after="80" w:before="200"/>
      </w:pPr>
      <w:r>
        <w:t xml:space="preserve">Slide 1: Title</w:t>
      </w:r>
    </w:p>
    <w:p>
      <w:pPr>
        <w:spacing w:after="60" w:line="300"/>
      </w:pPr>
      <w:r>
        <w:t xml:space="preserve">Good morning. I am Reckitt's new Finance Manager. Today I will show you, as possible investors, how well Reckitt is really doing. I will cover its background, profit, ability to pay bills, use of assets, shares and dividends, two management strengths, and my final recommendation.</w:t>
      </w:r>
    </w:p>
    <w:p>
      <w:pPr>
        <w:spacing w:after="120"/>
        <w:jc w:val="right"/>
      </w:pPr>
      <w:r>
        <w:rPr>
          <w:i/>
          <w:iCs/>
          <w:color w:val="8C7F96"/>
          <w:sz w:val="18"/>
          <w:szCs w:val="18"/>
        </w:rPr>
        <w:t xml:space="preserve">45 words</w:t>
      </w:r>
    </w:p>
    <w:p>
      <w:pPr>
        <w:pStyle w:val="Heading2"/>
        <w:spacing w:after="80" w:before="200"/>
      </w:pPr>
      <w:r>
        <w:t xml:space="preserve">Slide 2: Background and key turning points</w:t>
      </w:r>
    </w:p>
    <w:p>
      <w:pPr>
        <w:spacing w:after="60" w:line="300"/>
      </w:pPr>
      <w:r>
        <w:t xml:space="preserve">Reckitt's roots go back to 1840. The modern company formed in 1999, then bought major health brands and Mead Johnson in 2017. The big turning point came in July 2024: a new focus on top brands, lower costs, and selling Essential Home in December 2025.</w:t>
      </w:r>
    </w:p>
    <w:p>
      <w:pPr>
        <w:spacing w:after="120"/>
        <w:jc w:val="right"/>
      </w:pPr>
      <w:r>
        <w:rPr>
          <w:i/>
          <w:iCs/>
          <w:color w:val="8C7F96"/>
          <w:sz w:val="18"/>
          <w:szCs w:val="18"/>
        </w:rPr>
        <w:t xml:space="preserve">45 words</w:t>
      </w:r>
    </w:p>
    <w:p>
      <w:pPr>
        <w:pStyle w:val="Heading2"/>
        <w:spacing w:after="80" w:before="200"/>
      </w:pPr>
      <w:r>
        <w:t xml:space="preserve">Slide 3: What Reckitt sells and how big it is</w:t>
      </w:r>
    </w:p>
    <w:p>
      <w:pPr>
        <w:spacing w:after="60" w:line="300"/>
      </w:pPr>
      <w:r>
        <w:t xml:space="preserve">Reckitt is a large global FTSE 100 company. In 2025 it made £14.2 billion of sales, employed about 36,000 people and worked in 80 countries. Its brands include Dettol, Durex and Finish. Emerging Markets is now its biggest area, and Essential Home has been sold.</w:t>
      </w:r>
    </w:p>
    <w:p>
      <w:pPr>
        <w:spacing w:after="120"/>
        <w:jc w:val="right"/>
      </w:pPr>
      <w:r>
        <w:rPr>
          <w:i/>
          <w:iCs/>
          <w:color w:val="8C7F96"/>
          <w:sz w:val="18"/>
          <w:szCs w:val="18"/>
        </w:rPr>
        <w:t xml:space="preserve">45 words</w:t>
      </w:r>
    </w:p>
    <w:p>
      <w:pPr>
        <w:pStyle w:val="Heading2"/>
        <w:spacing w:after="80" w:before="200"/>
      </w:pPr>
      <w:r>
        <w:t xml:space="preserve">Slide 4: Board of directors and governance</w:t>
      </w:r>
    </w:p>
    <w:p>
      <w:pPr>
        <w:spacing w:after="60" w:line="300"/>
      </w:pPr>
      <w:r>
        <w:t xml:space="preserve">A strong board matters to investors. The Chair led Sky, the Chief Executive led the 2024 strategy change, and the Finance Director came from Nike. Nine of twelve directors are independent, women hold 58 percent of seats, and KPMG has audited the accounts since 2018.</w:t>
      </w:r>
    </w:p>
    <w:p>
      <w:pPr>
        <w:spacing w:after="120"/>
        <w:jc w:val="right"/>
      </w:pPr>
      <w:r>
        <w:rPr>
          <w:i/>
          <w:iCs/>
          <w:color w:val="8C7F96"/>
          <w:sz w:val="18"/>
          <w:szCs w:val="18"/>
        </w:rPr>
        <w:t xml:space="preserve">45 words</w:t>
      </w:r>
    </w:p>
    <w:p>
      <w:pPr>
        <w:pStyle w:val="Heading2"/>
        <w:spacing w:after="80" w:before="200"/>
      </w:pPr>
      <w:r>
        <w:t xml:space="preserve">Slide 5: How we analyse the numbers</w:t>
      </w:r>
    </w:p>
    <w:p>
      <w:pPr>
        <w:spacing w:after="60" w:line="300"/>
      </w:pPr>
      <w:r>
        <w:t xml:space="preserve">Investors know less than managers, so we use financial analysis to close that gap. I use ratios, year-on-year trends and comparisons with similar companies. Ratios have limits: they look backwards and one-off items can distort them. The table shows all the audited figures I used.</w:t>
      </w:r>
    </w:p>
    <w:p>
      <w:pPr>
        <w:spacing w:after="120"/>
        <w:jc w:val="right"/>
      </w:pPr>
      <w:r>
        <w:rPr>
          <w:i/>
          <w:iCs/>
          <w:color w:val="8C7F96"/>
          <w:sz w:val="18"/>
          <w:szCs w:val="18"/>
        </w:rPr>
        <w:t xml:space="preserve">45 words</w:t>
      </w:r>
    </w:p>
    <w:p>
      <w:pPr>
        <w:pStyle w:val="Heading2"/>
        <w:spacing w:after="80" w:before="200"/>
      </w:pPr>
      <w:r>
        <w:t xml:space="preserve">Slide 6: Profitability: how much profit is made?</w:t>
      </w:r>
    </w:p>
    <w:p>
      <w:pPr>
        <w:spacing w:after="60" w:line="300"/>
      </w:pPr>
      <w:r>
        <w:t xml:space="preserve">Gross margin stayed at about 61 percent. Operating margin jumped to 29.7 percent, mainly because of a one-off £1,245 million gain from selling Essential Home. Without that gain, the margin is still 20.9 percent, up 3.8 points. Investors should mainly focus on this underlying figure.</w:t>
      </w:r>
    </w:p>
    <w:p>
      <w:pPr>
        <w:spacing w:after="120"/>
        <w:jc w:val="right"/>
      </w:pPr>
      <w:r>
        <w:rPr>
          <w:i/>
          <w:iCs/>
          <w:color w:val="8C7F96"/>
          <w:sz w:val="18"/>
          <w:szCs w:val="18"/>
        </w:rPr>
        <w:t xml:space="preserve">45 words</w:t>
      </w:r>
    </w:p>
    <w:p>
      <w:pPr>
        <w:pStyle w:val="Heading2"/>
        <w:spacing w:after="80" w:before="200"/>
      </w:pPr>
      <w:r>
        <w:t xml:space="preserve">Slide 7: Liquidity: can it pay short-term bills?</w:t>
      </w:r>
    </w:p>
    <w:p>
      <w:pPr>
        <w:spacing w:after="60" w:line="300"/>
      </w:pPr>
      <w:r>
        <w:t xml:space="preserve">The current ratio rose from 0.58 to 0.85 because sale cash arrived on the last day of 2025. Low ratios are normal for strong brands. But after the special dividend it fell to 0.59, and a large bond is due, so investors should watch closely.</w:t>
      </w:r>
    </w:p>
    <w:p>
      <w:pPr>
        <w:spacing w:after="120"/>
        <w:jc w:val="right"/>
      </w:pPr>
      <w:r>
        <w:rPr>
          <w:i/>
          <w:iCs/>
          <w:color w:val="8C7F96"/>
          <w:sz w:val="18"/>
          <w:szCs w:val="18"/>
        </w:rPr>
        <w:t xml:space="preserve">45 words</w:t>
      </w:r>
    </w:p>
    <w:p>
      <w:pPr>
        <w:pStyle w:val="Heading2"/>
        <w:spacing w:after="80" w:before="200"/>
      </w:pPr>
      <w:r>
        <w:t xml:space="preserve">Slide 8: Efficiency: how well are assets used?</w:t>
      </w:r>
    </w:p>
    <w:p>
      <w:pPr>
        <w:spacing w:after="60" w:line="300"/>
      </w:pPr>
      <w:r>
        <w:t xml:space="preserve">Each pound of assets made 57 pence of sales. Stock now sells in 98 days instead of 103, while customers still pay in about 54 days. Assets look high because most are bought brands. Faster stock movement would free more cash for the whole business.</w:t>
      </w:r>
    </w:p>
    <w:p>
      <w:pPr>
        <w:spacing w:after="120"/>
        <w:jc w:val="right"/>
      </w:pPr>
      <w:r>
        <w:rPr>
          <w:i/>
          <w:iCs/>
          <w:color w:val="8C7F96"/>
          <w:sz w:val="18"/>
          <w:szCs w:val="18"/>
        </w:rPr>
        <w:t xml:space="preserve">45 words</w:t>
      </w:r>
    </w:p>
    <w:p>
      <w:pPr>
        <w:pStyle w:val="Heading2"/>
        <w:spacing w:after="80" w:before="200"/>
      </w:pPr>
      <w:r>
        <w:t xml:space="preserve">Slide 9: Comparison with Unilever and Haleon (2025)</w:t>
      </w:r>
    </w:p>
    <w:p>
      <w:pPr>
        <w:spacing w:after="60" w:line="300"/>
      </w:pPr>
      <w:r>
        <w:t xml:space="preserve">Compared with Unilever and Haleon, Reckitt has strong margins and similar liquidity. Unilever's liquidity figures could not be verified, so I have not shown them. On adjusted earnings, Reckitt's shares are the cheapest of the three and pay the highest dividend yield, suggesting possible value.</w:t>
      </w:r>
    </w:p>
    <w:p>
      <w:pPr>
        <w:spacing w:after="120"/>
        <w:jc w:val="right"/>
      </w:pPr>
      <w:r>
        <w:rPr>
          <w:i/>
          <w:iCs/>
          <w:color w:val="8C7F96"/>
          <w:sz w:val="18"/>
          <w:szCs w:val="18"/>
        </w:rPr>
        <w:t xml:space="preserve">45 words</w:t>
      </w:r>
    </w:p>
    <w:p>
      <w:pPr>
        <w:pStyle w:val="Heading2"/>
        <w:spacing w:after="80" w:before="200"/>
      </w:pPr>
      <w:r>
        <w:t xml:space="preserve">Slide 10: Share price, EPS and P/E ratio</w:t>
      </w:r>
    </w:p>
    <w:p>
      <w:pPr>
        <w:spacing w:after="60" w:line="300"/>
      </w:pPr>
      <w:r>
        <w:t xml:space="preserve">The share price rose by 24 percent during 2025. Reported earnings per share doubled, but only because of the one-off gain; adjusted earnings rose just 1.1 percent. The adjusted price-earnings ratio rose from 13.8 to 17 times, showing that investors became more confident in Reckitt.</w:t>
      </w:r>
    </w:p>
    <w:p>
      <w:pPr>
        <w:spacing w:after="120"/>
        <w:jc w:val="right"/>
      </w:pPr>
      <w:r>
        <w:rPr>
          <w:i/>
          <w:iCs/>
          <w:color w:val="8C7F96"/>
          <w:sz w:val="18"/>
          <w:szCs w:val="18"/>
        </w:rPr>
        <w:t xml:space="preserve">45 words</w:t>
      </w:r>
    </w:p>
    <w:p>
      <w:pPr>
        <w:pStyle w:val="Heading2"/>
        <w:spacing w:after="80" w:before="200"/>
      </w:pPr>
      <w:r>
        <w:t xml:space="preserve">Slide 11: Dividends: what shareholders receive</w:t>
      </w:r>
    </w:p>
    <w:p>
      <w:pPr>
        <w:spacing w:after="60" w:line="300"/>
      </w:pPr>
      <w:r>
        <w:t xml:space="preserve">Reckitt paid 212.2 pence per share for 2025, up 5 percent, giving a 3.5 percent yield. It pays out about 60 percent of underlying profit and keeps 40 percent. Since July 2024, it has returned £6.4 billion to shareholders, including the special dividend and buybacks.</w:t>
      </w:r>
    </w:p>
    <w:p>
      <w:pPr>
        <w:spacing w:after="120"/>
        <w:jc w:val="right"/>
      </w:pPr>
      <w:r>
        <w:rPr>
          <w:i/>
          <w:iCs/>
          <w:color w:val="8C7F96"/>
          <w:sz w:val="18"/>
          <w:szCs w:val="18"/>
        </w:rPr>
        <w:t xml:space="preserve">45 words</w:t>
      </w:r>
    </w:p>
    <w:p>
      <w:pPr>
        <w:pStyle w:val="Heading2"/>
        <w:spacing w:after="80" w:before="200"/>
      </w:pPr>
      <w:r>
        <w:t xml:space="preserve">Slide 12: Reported vs adjusted results, and 2026</w:t>
      </w:r>
    </w:p>
    <w:p>
      <w:pPr>
        <w:spacing w:after="60" w:line="300"/>
      </w:pPr>
      <w:r>
        <w:t xml:space="preserve">Reported figures include one-off items, like the sale gain and brand write-downs. Adjusted figures remove them, but management chooses those adjustments, so read both. In early 2026, underlying sales grew 2.6 percent, while reported profit fell because Essential Home was sold. Full-year targets remain unchanged.</w:t>
      </w:r>
    </w:p>
    <w:p>
      <w:pPr>
        <w:spacing w:after="120"/>
        <w:jc w:val="right"/>
      </w:pPr>
      <w:r>
        <w:rPr>
          <w:i/>
          <w:iCs/>
          <w:color w:val="8C7F96"/>
          <w:sz w:val="18"/>
          <w:szCs w:val="18"/>
        </w:rPr>
        <w:t xml:space="preserve">45 words</w:t>
      </w:r>
    </w:p>
    <w:p>
      <w:pPr>
        <w:pStyle w:val="Heading2"/>
        <w:spacing w:after="80" w:before="200"/>
      </w:pPr>
      <w:r>
        <w:t xml:space="preserve">Slide 13: How useful is the annual report?</w:t>
      </w:r>
    </w:p>
    <w:p>
      <w:pPr>
        <w:spacing w:after="60" w:line="300"/>
      </w:pPr>
      <w:r>
        <w:t xml:space="preserve">The annual report helps many groups: investors, lenders, suppliers, customers, staff and government. It is audited and follows international rules, so it is reliable. But it looks backwards, is 216 pages long and uses management's adjusted figures. So I used half-year results and share prices.</w:t>
      </w:r>
    </w:p>
    <w:p>
      <w:pPr>
        <w:spacing w:after="120"/>
        <w:jc w:val="right"/>
      </w:pPr>
      <w:r>
        <w:rPr>
          <w:i/>
          <w:iCs/>
          <w:color w:val="8C7F96"/>
          <w:sz w:val="18"/>
          <w:szCs w:val="18"/>
        </w:rPr>
        <w:t xml:space="preserve">45 words</w:t>
      </w:r>
    </w:p>
    <w:p>
      <w:pPr>
        <w:pStyle w:val="Heading2"/>
        <w:spacing w:after="80" w:before="200"/>
      </w:pPr>
      <w:r>
        <w:t xml:space="preserve">Slide 14: Two management strengths</w:t>
      </w:r>
    </w:p>
    <w:p>
      <w:pPr>
        <w:spacing w:after="60" w:line="300"/>
      </w:pPr>
      <w:r>
        <w:t xml:space="preserve">Two strengths support investing. First, strategy and innovation: fewer, stronger brands, lower fixed costs and successful new products. Second, risk management: clear responsibilities, open reporting of major risks and £4.4 billion of unused bank facilities. Together they help protect profits and make returns more stable.</w:t>
      </w:r>
    </w:p>
    <w:p>
      <w:pPr>
        <w:spacing w:after="120"/>
        <w:jc w:val="right"/>
      </w:pPr>
      <w:r>
        <w:rPr>
          <w:i/>
          <w:iCs/>
          <w:color w:val="8C7F96"/>
          <w:sz w:val="18"/>
          <w:szCs w:val="18"/>
        </w:rPr>
        <w:t xml:space="preserve">45 words</w:t>
      </w:r>
    </w:p>
    <w:p>
      <w:pPr>
        <w:pStyle w:val="Heading2"/>
        <w:spacing w:after="80" w:before="200"/>
      </w:pPr>
      <w:r>
        <w:t xml:space="preserve">Slide 15: Recommendation: buy gradually</w:t>
      </w:r>
    </w:p>
    <w:p>
      <w:pPr>
        <w:spacing w:after="60" w:line="300"/>
      </w:pPr>
      <w:r>
        <w:t xml:space="preserve">My recommendation is to buy Reckitt shares gradually for the long term. It has high margins, a growing dividend and a lower adjusted price-earnings ratio than its peers. However, investors should watch the court cases, higher debt and lower 2026 earnings. Thank you; any questions?</w:t>
      </w:r>
    </w:p>
    <w:p>
      <w:pPr>
        <w:spacing w:after="120"/>
        <w:jc w:val="right"/>
      </w:pPr>
      <w:r>
        <w:rPr>
          <w:i/>
          <w:iCs/>
          <w:color w:val="8C7F96"/>
          <w:sz w:val="18"/>
          <w:szCs w:val="18"/>
        </w:rPr>
        <w:t xml:space="preserve">45 words</w:t>
      </w:r>
    </w:p>
    <w:p>
      <w:pPr>
        <w:pStyle w:val="Heading2"/>
        <w:spacing w:after="80" w:before="200"/>
      </w:pPr>
      <w:r>
        <w:t xml:space="preserve">Slide 16: References</w:t>
      </w:r>
    </w:p>
    <w:p>
      <w:pPr>
        <w:spacing w:after="60" w:line="300"/>
      </w:pPr>
      <w:r>
        <w:t xml:space="preserve">These twenty sources all follow the Harvard referencing style. They include six academic books, six peer-reviewed journal articles, and official company and accounting reports. Every figure in this presentation comes from these sources or my own calculations, and each data slide shows its source underneath.</w:t>
      </w:r>
    </w:p>
    <w:p>
      <w:pPr>
        <w:spacing w:after="120"/>
        <w:jc w:val="right"/>
      </w:pPr>
      <w:r>
        <w:rPr>
          <w:i/>
          <w:iCs/>
          <w:color w:val="8C7F96"/>
          <w:sz w:val="18"/>
          <w:szCs w:val="18"/>
        </w:rPr>
        <w:t xml:space="preserve">45 words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3B0F35"/>
      <w:sz w:val="40"/>
      <w:szCs w:val="40"/>
    </w:rPr>
  </w:style>
  <w:style w:type="paragraph" w:styleId="Heading2">
    <w:name w:val="Heading 2"/>
    <w:basedOn w:val="Normal"/>
    <w:next w:val="Normal"/>
    <w:qFormat/>
    <w:pPr>
      <w:outlineLvl w:val="1"/>
    </w:pPr>
    <w:rPr>
      <w:rFonts w:ascii="Cambria" w:cs="Cambria" w:eastAsia="Cambria" w:hAnsi="Cambria"/>
      <w:b/>
      <w:bCs/>
      <w:color w:val="D600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2026-10-22T08:50:17.596Z</dcterms:created>
  <dcterms:modified xsi:type="dcterms:W3CDTF">2026-10-22T08:50:17.596Z</dcterms:modified>
</cp:coreProperties>
</file>

<file path=docProps/custom.xml><?xml version="1.0" encoding="utf-8"?>
<Properties xmlns="http://schemas.openxmlformats.org/officeDocument/2006/custom-properties" xmlns:vt="http://schemas.openxmlformats.org/officeDocument/2006/docPropsVTypes"/>
</file>