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sz w:val="40"/>
        </w:rPr>
        <w:t xml:space="preserve">Speaking</w:t>
      </w:r>
      <w:r>
        <w:rPr>
          <w:sz w:val="40"/>
        </w:rPr>
        <w:t xml:space="preserve"> </w:t>
      </w:r>
      <w:r>
        <w:rPr>
          <w:sz w:val="40"/>
        </w:rPr>
        <w:t xml:space="preserve">Notes</w:t>
      </w:r>
    </w:p>
    <w:p>
      <w:pPr>
        <w:pStyle w:val="Subtitle"/>
      </w:pPr>
      <w:r>
        <w:rPr>
          <w:sz w:val="26"/>
        </w:rPr>
        <w:t xml:space="preserve">Ethical</w:t>
      </w:r>
      <w:r>
        <w:rPr>
          <w:sz w:val="26"/>
        </w:rPr>
        <w:t xml:space="preserve"> </w:t>
      </w:r>
      <w:r>
        <w:rPr>
          <w:sz w:val="26"/>
        </w:rPr>
        <w:t xml:space="preserve">and</w:t>
      </w:r>
      <w:r>
        <w:rPr>
          <w:sz w:val="26"/>
        </w:rPr>
        <w:t xml:space="preserve"> </w:t>
      </w:r>
      <w:r>
        <w:rPr>
          <w:sz w:val="26"/>
        </w:rPr>
        <w:t xml:space="preserve">Governance</w:t>
      </w:r>
      <w:r>
        <w:rPr>
          <w:sz w:val="26"/>
        </w:rPr>
        <w:t xml:space="preserve"> </w:t>
      </w:r>
      <w:r>
        <w:rPr>
          <w:sz w:val="26"/>
        </w:rPr>
        <w:t xml:space="preserve">Challenges</w:t>
      </w:r>
      <w:r>
        <w:rPr>
          <w:sz w:val="26"/>
        </w:rPr>
        <w:t xml:space="preserve"> </w:t>
      </w:r>
      <w:r>
        <w:rPr>
          <w:sz w:val="26"/>
        </w:rPr>
        <w:t xml:space="preserve">of</w:t>
      </w:r>
      <w:r>
        <w:rPr>
          <w:sz w:val="26"/>
        </w:rPr>
        <w:t xml:space="preserve"> </w:t>
      </w:r>
      <w:r>
        <w:rPr>
          <w:sz w:val="26"/>
        </w:rPr>
        <w:t xml:space="preserve">Using</w:t>
      </w:r>
      <w:r>
        <w:rPr>
          <w:sz w:val="26"/>
        </w:rPr>
        <w:t xml:space="preserve"> </w:t>
      </w:r>
      <w:r>
        <w:rPr>
          <w:sz w:val="26"/>
        </w:rPr>
        <w:t xml:space="preserve">Aboriginal</w:t>
      </w:r>
      <w:r>
        <w:rPr>
          <w:sz w:val="26"/>
        </w:rPr>
        <w:t xml:space="preserve"> </w:t>
      </w:r>
      <w:r>
        <w:rPr>
          <w:sz w:val="26"/>
        </w:rPr>
        <w:t xml:space="preserve">and</w:t>
      </w:r>
      <w:r>
        <w:rPr>
          <w:sz w:val="26"/>
        </w:rPr>
        <w:t xml:space="preserve"> </w:t>
      </w:r>
      <w:r>
        <w:rPr>
          <w:sz w:val="26"/>
        </w:rPr>
        <w:t xml:space="preserve">Torres</w:t>
      </w:r>
      <w:r>
        <w:rPr>
          <w:sz w:val="26"/>
        </w:rPr>
        <w:t xml:space="preserve"> </w:t>
      </w:r>
      <w:r>
        <w:rPr>
          <w:sz w:val="26"/>
        </w:rPr>
        <w:t xml:space="preserve">Strait</w:t>
      </w:r>
      <w:r>
        <w:rPr>
          <w:sz w:val="26"/>
        </w:rPr>
        <w:t xml:space="preserve"> </w:t>
      </w:r>
      <w:r>
        <w:rPr>
          <w:sz w:val="26"/>
        </w:rPr>
        <w:t xml:space="preserve">Islander</w:t>
      </w:r>
      <w:r>
        <w:rPr>
          <w:sz w:val="26"/>
        </w:rPr>
        <w:t xml:space="preserve"> </w:t>
      </w:r>
      <w:r>
        <w:rPr>
          <w:sz w:val="26"/>
        </w:rPr>
        <w:t xml:space="preserve">Language</w:t>
      </w:r>
      <w:r>
        <w:rPr>
          <w:sz w:val="26"/>
        </w:rPr>
        <w:t xml:space="preserve"> </w:t>
      </w:r>
      <w:r>
        <w:rPr>
          <w:sz w:val="26"/>
        </w:rPr>
        <w:t xml:space="preserve">Resources</w:t>
      </w:r>
      <w:r>
        <w:rPr>
          <w:sz w:val="26"/>
        </w:rPr>
        <w:t xml:space="preserve"> </w:t>
      </w:r>
      <w:r>
        <w:rPr>
          <w:sz w:val="26"/>
        </w:rPr>
        <w:t xml:space="preserve">in</w:t>
      </w:r>
      <w:r>
        <w:rPr>
          <w:sz w:val="26"/>
        </w:rPr>
        <w:t xml:space="preserve"> </w:t>
      </w:r>
      <w:r>
        <w:rPr>
          <w:sz w:val="26"/>
        </w:rPr>
        <w:t xml:space="preserve">AI</w:t>
      </w:r>
      <w:r>
        <w:rPr>
          <w:sz w:val="26"/>
        </w:rPr>
        <w:t xml:space="preserve"> </w:t>
      </w:r>
      <w:r>
        <w:rPr>
          <w:sz w:val="26"/>
        </w:rPr>
        <w:t xml:space="preserve">Training</w:t>
      </w:r>
    </w:p>
    <w:bookmarkStart w:id="20" w:name="slide-1-title"/>
    <w:p>
      <w:pPr>
        <w:pStyle w:val="Heading2"/>
      </w:pPr>
      <w:r>
        <w:rPr>
          <w:sz w:val="32"/>
        </w:rPr>
        <w:t xml:space="preserve">Slide 1: Title</w:t>
      </w:r>
    </w:p>
    <w:p>
      <w:pPr>
        <w:pStyle w:val="FirstParagraph"/>
        <w:spacing w:line="360" w:lineRule="auto"/>
      </w:pPr>
      <w:r>
        <w:rPr>
          <w:sz w:val="28"/>
        </w:rPr>
        <w:t xml:space="preserve">Good morning, board members. Today I am briefing you on one decision: should LinguaTech train its language model on Aboriginal and Torres Strait Islander language resources now, or pause until we have community consent? I will show you the evidence, what it means for us, its limits, and my recommendation.</w:t>
      </w:r>
    </w:p>
    <w:bookmarkEnd w:id="20"/>
    <w:bookmarkStart w:id="21" w:name="slide-2-the-decision-before-the-board"/>
    <w:p>
      <w:pPr>
        <w:pStyle w:val="Heading2"/>
      </w:pPr>
      <w:r>
        <w:rPr>
          <w:sz w:val="32"/>
        </w:rPr>
        <w:t xml:space="preserve">Slide 2: The decision before the board</w:t>
      </w:r>
    </w:p>
    <w:p>
      <w:pPr>
        <w:pStyle w:val="FirstParagraph"/>
        <w:spacing w:line="360" w:lineRule="auto"/>
      </w:pPr>
      <w:r>
        <w:rPr>
          <w:sz w:val="28"/>
        </w:rPr>
        <w:t xml:space="preserve">Our product team wants to train on wordlists, place names and teaching materials found online. Option A is to proceed now: fast, but it assumes public access means permission. Option B is to pause and partner with communities first. To decide, you need to know who holds these languages.</w:t>
      </w:r>
    </w:p>
    <w:bookmarkEnd w:id="21"/>
    <w:bookmarkStart w:id="22" w:name="X01f52d06ee8e6c3377b5b735ea8f7e266e28147"/>
    <w:p>
      <w:pPr>
        <w:pStyle w:val="Heading2"/>
      </w:pPr>
      <w:r>
        <w:rPr>
          <w:sz w:val="32"/>
        </w:rPr>
        <w:t xml:space="preserve">Slide 3: Why</w:t>
      </w:r>
      <w:r>
        <w:rPr>
          <w:sz w:val="32"/>
        </w:rPr>
        <w:t xml:space="preserve"> </w:t>
      </w:r>
      <w:r>
        <w:rPr>
          <w:sz w:val="32"/>
        </w:rPr>
        <w:t xml:space="preserve">“</w:t>
      </w:r>
      <w:r>
        <w:rPr>
          <w:sz w:val="32"/>
        </w:rPr>
        <w:t xml:space="preserve">publicly available</w:t>
      </w:r>
      <w:r>
        <w:rPr>
          <w:sz w:val="32"/>
        </w:rPr>
        <w:t xml:space="preserve">”</w:t>
      </w:r>
      <w:r>
        <w:rPr>
          <w:sz w:val="32"/>
        </w:rPr>
        <w:t xml:space="preserve"> </w:t>
      </w:r>
      <w:r>
        <w:rPr>
          <w:sz w:val="32"/>
        </w:rPr>
        <w:t xml:space="preserve">is not</w:t>
      </w:r>
      <w:r>
        <w:rPr>
          <w:sz w:val="32"/>
        </w:rPr>
        <w:t xml:space="preserve"> </w:t>
      </w:r>
      <w:r>
        <w:rPr>
          <w:sz w:val="32"/>
        </w:rPr>
        <w:t xml:space="preserve">“</w:t>
      </w:r>
      <w:r>
        <w:rPr>
          <w:sz w:val="32"/>
        </w:rPr>
        <w:t xml:space="preserve">permitted</w:t>
      </w:r>
      <w:r>
        <w:rPr>
          <w:sz w:val="32"/>
        </w:rPr>
        <w:t xml:space="preserve">”</w:t>
      </w:r>
    </w:p>
    <w:p>
      <w:pPr>
        <w:pStyle w:val="FirstParagraph"/>
        <w:spacing w:line="360" w:lineRule="auto"/>
      </w:pPr>
      <w:r>
        <w:rPr>
          <w:sz w:val="28"/>
        </w:rPr>
        <w:t xml:space="preserve">These materials are collectively owned cultural knowledge. AIATSIS (2020) requires collective consent, even for online and archival sources. The CARE principles give communities authority to control their data (Carroll et al., 2020). Our AI Ethics Principles demand reliable, transparent systems (DISR, 2019). So the question is permission, not access.</w:t>
      </w:r>
    </w:p>
    <w:bookmarkEnd w:id="22"/>
    <w:bookmarkStart w:id="23" w:name="slide-4-evidence-source-and-method"/>
    <w:p>
      <w:pPr>
        <w:pStyle w:val="Heading2"/>
      </w:pPr>
      <w:r>
        <w:rPr>
          <w:sz w:val="32"/>
        </w:rPr>
        <w:t xml:space="preserve">Slide 4: Evidence source and method</w:t>
      </w:r>
    </w:p>
    <w:p>
      <w:pPr>
        <w:pStyle w:val="FirstParagraph"/>
        <w:spacing w:line="360" w:lineRule="auto"/>
      </w:pPr>
      <w:r>
        <w:rPr>
          <w:sz w:val="28"/>
        </w:rPr>
        <w:t xml:space="preserve">My evidence is the ABS 2021 Census language data (ABS, 2022a). It is official, public and national. In 2021, 76,978 people used an Indigenous language at home, across 167 languages. I entered the published figures into a CSV, and Python calculated every value on the chart.</w:t>
      </w:r>
    </w:p>
    <w:bookmarkEnd w:id="23"/>
    <w:bookmarkStart w:id="24" w:name="slide-5-the-evidence"/>
    <w:p>
      <w:pPr>
        <w:pStyle w:val="Heading2"/>
      </w:pPr>
      <w:r>
        <w:rPr>
          <w:sz w:val="32"/>
        </w:rPr>
        <w:t xml:space="preserve">Slide 5: The evidence</w:t>
      </w:r>
    </w:p>
    <w:p>
      <w:pPr>
        <w:pStyle w:val="FirstParagraph"/>
        <w:spacing w:line="360" w:lineRule="auto"/>
      </w:pPr>
      <w:r>
        <w:rPr>
          <w:sz w:val="28"/>
        </w:rPr>
        <w:t xml:space="preserve">Only 19 languages have more than 1,000 home users. That leaves at least 132 languages, 87 percent, used by 1,000 people or fewer. Even the largest, Yumplatok, has just 7,596 users. The message is clear: the people whose consent we need, and who could check our model, are few.</w:t>
      </w:r>
    </w:p>
    <w:bookmarkEnd w:id="24"/>
    <w:bookmarkStart w:id="25" w:name="slide-6-what-this-means-for-linguatech"/>
    <w:p>
      <w:pPr>
        <w:pStyle w:val="Heading2"/>
      </w:pPr>
      <w:r>
        <w:rPr>
          <w:sz w:val="32"/>
        </w:rPr>
        <w:t xml:space="preserve">Slide 6: What this means for LinguaTech</w:t>
      </w:r>
    </w:p>
    <w:p>
      <w:pPr>
        <w:pStyle w:val="FirstParagraph"/>
        <w:spacing w:line="360" w:lineRule="auto"/>
      </w:pPr>
      <w:r>
        <w:rPr>
          <w:sz w:val="28"/>
        </w:rPr>
        <w:t xml:space="preserve">This means three things. First, consent is achievable, because these communities are small and identifiable. Second, few fluent speakers exist to catch our model’s errors (Joshi et al., 2020). Third, any harm falls on a few people (Bird, 2020). The data shows where risk sits, not proof of harm.</w:t>
      </w:r>
    </w:p>
    <w:bookmarkEnd w:id="25"/>
    <w:bookmarkStart w:id="26" w:name="slide-7-limitations-and-uncertainty"/>
    <w:p>
      <w:pPr>
        <w:pStyle w:val="Heading2"/>
      </w:pPr>
      <w:r>
        <w:rPr>
          <w:sz w:val="32"/>
        </w:rPr>
        <w:t xml:space="preserve">Slide 7: Limitations and uncertainty</w:t>
      </w:r>
    </w:p>
    <w:p>
      <w:pPr>
        <w:pStyle w:val="FirstParagraph"/>
        <w:spacing w:line="360" w:lineRule="auto"/>
      </w:pPr>
      <w:r>
        <w:rPr>
          <w:sz w:val="28"/>
        </w:rPr>
        <w:t xml:space="preserve">This evidence has limits. The Census counts home use, not fluency, so real validators may be fewer. I used 151 languages as a conservative lower bound. The newer NILS4 survey cannot be compared with earlier data (Productivity Commission, 2026). And speaker numbers do not measure harm directly, so my advice manages risk.</w:t>
      </w:r>
    </w:p>
    <w:bookmarkEnd w:id="26"/>
    <w:bookmarkStart w:id="27" w:name="slide-8-recommendation"/>
    <w:p>
      <w:pPr>
        <w:pStyle w:val="Heading2"/>
      </w:pPr>
      <w:r>
        <w:rPr>
          <w:sz w:val="32"/>
        </w:rPr>
        <w:t xml:space="preserve">Slide 8: Recommendation</w:t>
      </w:r>
    </w:p>
    <w:p>
      <w:pPr>
        <w:pStyle w:val="FirstParagraph"/>
        <w:spacing w:line="360" w:lineRule="auto"/>
      </w:pPr>
      <w:r>
        <w:rPr>
          <w:sz w:val="28"/>
        </w:rPr>
        <w:t xml:space="preserve">I recommend Option B: pause and partner. Pause training until consent is in place. Consult language centres for collective consent. Test outputs with fluent speakers and block unvalidated languages. Put benefit-sharing in writing. I ask the board to approve a pause and fund this consultation. Thank you, I welcome your questions.</w:t>
      </w:r>
    </w:p>
    <w:bookmarkEnd w:id="27"/>
    <w:bookmarkStart w:id="28" w:name="slide-9-references"/>
    <w:p>
      <w:pPr>
        <w:pStyle w:val="Heading2"/>
      </w:pPr>
      <w:r>
        <w:rPr>
          <w:sz w:val="32"/>
        </w:rPr>
        <w:t xml:space="preserve">Slide 9: References</w:t>
      </w:r>
    </w:p>
    <w:p>
      <w:pPr>
        <w:pStyle w:val="FirstParagraph"/>
        <w:spacing w:line="360" w:lineRule="auto"/>
      </w:pPr>
      <w:r>
        <w:rPr>
          <w:sz w:val="28"/>
        </w:rPr>
        <w:t xml:space="preserve">(Leave this slide on screen during questions. No speaking needed.)</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Speaking Notes</dc:title>
  <dc:creator/>
  <cp:keywords/>
  <dcterms:created xsi:type="dcterms:W3CDTF">2026-10-15T16:14:13Z</dcterms:created>
  <dcterms:modified xsi:type="dcterms:W3CDTF">2026-10-15T16:14:13Z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Ethical and Governance Challenges of Using Aboriginal and Torres Strait Islander Language Resources in AI Training</vt:lpwstr>
  </property>
</Properties>
</file>