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1B3A2D"/>
          <w:sz w:val="40"/>
          <w:szCs w:val="40"/>
        </w:rPr>
        <w:t xml:space="preserve">Speaker Notes</w:t>
      </w:r>
    </w:p>
    <w:p>
      <w:pPr>
        <w:spacing w:after="60"/>
      </w:pPr>
      <w:r>
        <w:rPr>
          <w:rFonts w:ascii="Calibri" w:cs="Calibri" w:eastAsia="Calibri" w:hAnsi="Calibri"/>
          <w:color w:val="125B3F"/>
          <w:sz w:val="24"/>
          <w:szCs w:val="24"/>
        </w:rPr>
        <w:t xml:space="preserve">Evaluating Debt and Internal Financing for Woolworths Group's Distribution and Supply Chain Expansion</w:t>
      </w:r>
    </w:p>
    <w:p>
      <w:pPr>
        <w:pBdr>
          <w:bottom w:val="single" w:color="D4A843" w:sz="6" w:space="6"/>
        </w:pBdr>
        <w:spacing w:after="240"/>
      </w:pPr>
      <w:r>
        <w:rPr>
          <w:rFonts w:ascii="Calibri" w:cs="Calibri" w:eastAsia="Calibri" w:hAnsi="Calibri"/>
          <w:color w:val="666666"/>
          <w:sz w:val="20"/>
          <w:szCs w:val="20"/>
        </w:rPr>
        <w:t xml:space="preserve">FIN4951 / FIN4001 Corporate Finance  |  20 slides  |  approximately 50 words (about 20 seconds) per slide</w:t>
      </w:r>
    </w:p>
    <w:p>
      <w:pPr>
        <w:pStyle w:val="Heading2"/>
        <w:keepNext/>
        <w:spacing w:after="80" w:before="240"/>
      </w:pPr>
      <w:r>
        <w:rPr>
          <w:rFonts w:ascii="Calibri" w:cs="Calibri" w:eastAsia="Calibri" w:hAnsi="Calibri"/>
          <w:b/>
          <w:bCs/>
          <w:color w:val="125B3F"/>
          <w:sz w:val="24"/>
          <w:szCs w:val="24"/>
        </w:rPr>
        <w:t xml:space="preserve">Slide 1: Evaluating Debt and Internal Financing for Woolworths Group's Distribution and Supply Chain Expansion</w:t>
      </w:r>
    </w:p>
    <w:p>
      <w:pPr>
        <w:spacing w:after="60" w:line="300"/>
        <w:jc w:val="both"/>
      </w:pPr>
      <w:r>
        <w:rPr>
          <w:rFonts w:ascii="Calibri" w:cs="Calibri" w:eastAsia="Calibri" w:hAnsi="Calibri"/>
          <w:sz w:val="23"/>
          <w:szCs w:val="23"/>
        </w:rPr>
        <w:t xml:space="preserve">Good morning. Acting as Corporate Finance Adviser, I will advise Woolworths Group's CFO and Board on one question: should a future distribution and supply-chain expansion be financed internally, through debt, or through a combination? Woolworths is Australia's largest supermarket retailer, with FY2025 revenue of A$69.1 billion and around 203,000 employees.</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2: Executive Summary</w:t>
      </w:r>
    </w:p>
    <w:p>
      <w:pPr>
        <w:spacing w:after="60" w:line="300"/>
        <w:jc w:val="both"/>
      </w:pPr>
      <w:r>
        <w:rPr>
          <w:rFonts w:ascii="Calibri" w:cs="Calibri" w:eastAsia="Calibri" w:hAnsi="Calibri"/>
          <w:sz w:val="23"/>
          <w:szCs w:val="23"/>
        </w:rPr>
        <w:t xml:space="preserve">In summary, Woolworths generated A$4.55 billion in operating cash flow and holds A$5.5 billion of interest-bearing debt, rated BBB. The question is how to fund a hypothetical A$800 million expansion. I provisionally recommend 60% internal, A$480 million, and 40% debt, A$320 million. The key risk: rising rates and weaker demand.</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3: Company Overview and Strategic Context</w:t>
      </w:r>
    </w:p>
    <w:p>
      <w:pPr>
        <w:spacing w:after="60" w:line="300"/>
        <w:jc w:val="both"/>
      </w:pPr>
      <w:r>
        <w:rPr>
          <w:rFonts w:ascii="Calibri" w:cs="Calibri" w:eastAsia="Calibri" w:hAnsi="Calibri"/>
          <w:sz w:val="23"/>
          <w:szCs w:val="23"/>
        </w:rPr>
        <w:t xml:space="preserve">Woolworths operates five segments, led by Australian Food at A$51.5 billion, with around 1,100 supermarkets and Primary Connect as its supply-chain arm. Distribution centres drive availability, cost efficiency and pricing power within the Coles-Woolworths duopoly. With WooliesX growing 16%, logistics investment matters, and the wrong financing structure could weaken flexibility.</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4: Proposed Expansion and Funding Requirement</w:t>
      </w:r>
    </w:p>
    <w:p>
      <w:pPr>
        <w:spacing w:after="60" w:line="300"/>
        <w:jc w:val="both"/>
      </w:pPr>
      <w:r>
        <w:rPr>
          <w:rFonts w:ascii="Calibri" w:cs="Calibri" w:eastAsia="Calibri" w:hAnsi="Calibri"/>
          <w:sz w:val="23"/>
          <w:szCs w:val="23"/>
        </w:rPr>
        <w:t xml:space="preserve">The precedent is Moorebank: A$1.3 billion invested in two automated Western Sydney distribution centres handling five million cartons weekly. Our hypothetical expansion extends this model to Melbourne and Brisbane at an estimated A$800 million, phased over two to three years. This is an analytical estimate, not an announced Woolworths project.</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5: Existing Financing Structure</w:t>
      </w:r>
    </w:p>
    <w:p>
      <w:pPr>
        <w:spacing w:after="60" w:line="300"/>
        <w:jc w:val="both"/>
      </w:pPr>
      <w:r>
        <w:rPr>
          <w:rFonts w:ascii="Calibri" w:cs="Calibri" w:eastAsia="Calibri" w:hAnsi="Calibri"/>
          <w:sz w:val="23"/>
          <w:szCs w:val="23"/>
        </w:rPr>
        <w:t xml:space="preserve">Turning to the existing capital structure, interest-bearing debt rose 20.4% to A$5.5 billion, mainly from the November 2024 A$800 million MTN issue at 5.91%. Net debt excluding leases increased 29.1%, while equity fell 10.9%. Lease liabilities of A$11.9 billion dominate total debt but reflect operating leases, not true financing debt.</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6: Two-Year Financial Performance</w:t>
      </w:r>
    </w:p>
    <w:p>
      <w:pPr>
        <w:spacing w:after="60" w:line="300"/>
        <w:jc w:val="both"/>
      </w:pPr>
      <w:r>
        <w:rPr>
          <w:rFonts w:ascii="Calibri" w:cs="Calibri" w:eastAsia="Calibri" w:hAnsi="Calibri"/>
          <w:sz w:val="23"/>
          <w:szCs w:val="23"/>
        </w:rPr>
        <w:t xml:space="preserve">Revenue grew 1.7% to A$69.1 billion, or 3.6% normalised, yet EBIT fell 14.6% and underlying net profit fell 19.1%, reflecting margin compression. Crucially, operating cash flow rose 4.4% to A$4.55 billion and free cash flow rose 11.6%. Dividends were cut 41.7%, suggesting the Board is deliberately preserving its financial flexibility.</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7: Profitability and Efficiency Analysis</w:t>
      </w:r>
    </w:p>
    <w:p>
      <w:pPr>
        <w:spacing w:after="60" w:line="300"/>
        <w:jc w:val="both"/>
      </w:pPr>
      <w:r>
        <w:rPr>
          <w:rFonts w:ascii="Calibri" w:cs="Calibri" w:eastAsia="Calibri" w:hAnsi="Calibri"/>
          <w:sz w:val="23"/>
          <w:szCs w:val="23"/>
        </w:rPr>
        <w:t xml:space="preserve">Profitability is declining across all margins. EBIT margin fell from 4.7% to 4.0%, driven by a 60 basis point rise in the Australian Food cost-of-doing-business ratio. Return on equity remains high at 28.3%, but partly inflated by a shrinking equity base. Asset turnover improved slightly, which supports future expansion returns.</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8: Liquidity and Cash Flow Analysis</w:t>
      </w:r>
    </w:p>
    <w:p>
      <w:pPr>
        <w:spacing w:after="60" w:line="300"/>
        <w:jc w:val="both"/>
      </w:pPr>
      <w:r>
        <w:rPr>
          <w:rFonts w:ascii="Calibri" w:cs="Calibri" w:eastAsia="Calibri" w:hAnsi="Calibri"/>
          <w:sz w:val="23"/>
          <w:szCs w:val="23"/>
        </w:rPr>
        <w:t xml:space="preserve">Liquidity is adequate. A current ratio of 0.57 is normal for grocers, who deliberately operate with negative working capital. After capital expenditure, dividends and interest, residual cash is only about A$158 million. However, dividend adjustments and phasing could release roughly A$250 to 350 million annually, making partial internal financing feasible.</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9: Gearing and Debt Servicing Capacity</w:t>
      </w:r>
    </w:p>
    <w:p>
      <w:pPr>
        <w:spacing w:after="60" w:line="300"/>
        <w:jc w:val="both"/>
      </w:pPr>
      <w:r>
        <w:rPr>
          <w:rFonts w:ascii="Calibri" w:cs="Calibri" w:eastAsia="Calibri" w:hAnsi="Calibri"/>
          <w:sz w:val="23"/>
          <w:szCs w:val="23"/>
        </w:rPr>
        <w:t xml:space="preserve">On gearing, debt-to-equity excluding leases rose from 0.85 to 1.13 times. Net debt to EBITDA of 0.74 times remains well within investment-grade parameters, indicating borrowing capacity. However, interest coverage fell from 4.18 to 3.29 times. Adding A$320 million of debt would reduce coverage to roughly 3.1 times: tight, but manageable.</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10: Economic and Industry Environment</w:t>
      </w:r>
    </w:p>
    <w:p>
      <w:pPr>
        <w:spacing w:after="60" w:line="300"/>
        <w:jc w:val="both"/>
      </w:pPr>
      <w:r>
        <w:rPr>
          <w:rFonts w:ascii="Calibri" w:cs="Calibri" w:eastAsia="Calibri" w:hAnsi="Calibri"/>
          <w:sz w:val="23"/>
          <w:szCs w:val="23"/>
        </w:rPr>
        <w:t xml:space="preserve">The macroeconomic environment matters. The RBA cash rate is 4.35% after three hikes in 2026, and BBB borrowing costs are around 5.5 to 6.5%. Inflation remains above target at 3.8%, raising construction and operating costs. With competition also limiting pricing power, these conditions favour internal financing where it is available.</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11: Supply-Chain Expansion: Costs, Benefits and Risks</w:t>
      </w:r>
    </w:p>
    <w:p>
      <w:pPr>
        <w:spacing w:after="60" w:line="300"/>
        <w:jc w:val="both"/>
      </w:pPr>
      <w:r>
        <w:rPr>
          <w:rFonts w:ascii="Calibri" w:cs="Calibri" w:eastAsia="Calibri" w:hAnsi="Calibri"/>
          <w:sz w:val="23"/>
          <w:szCs w:val="23"/>
        </w:rPr>
        <w:t xml:space="preserve">The expansion offers an estimated 12 to 15% reduction in per-carton distribution costs, better availability and stronger e-commerce capacity, with annual savings of A$60 to 80 million. Risks include cost overruns, implementation delays, technology integration and weaker demand. Total cost is estimated at A$750 to 850 million, assumed A$800 million.</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12: Financing Option 1: Internal Financing</w:t>
      </w:r>
    </w:p>
    <w:p>
      <w:pPr>
        <w:spacing w:after="60" w:line="300"/>
        <w:jc w:val="both"/>
      </w:pPr>
      <w:r>
        <w:rPr>
          <w:rFonts w:ascii="Calibri" w:cs="Calibri" w:eastAsia="Calibri" w:hAnsi="Calibri"/>
          <w:sz w:val="23"/>
          <w:szCs w:val="23"/>
        </w:rPr>
        <w:t xml:space="preserve">Option one is internal financing: funding A$800 million over two to three years, roughly A$270 to 400 million annually. Free cash flow after dividends was about A$996 million, so it is feasible. It avoids interest, protects the rating, consistent with pecking order theory, but reduces liquidity and requires dividend cuts.</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13: Financing Option 2: Debt Financing</w:t>
      </w:r>
    </w:p>
    <w:p>
      <w:pPr>
        <w:spacing w:after="60" w:line="300"/>
        <w:jc w:val="both"/>
      </w:pPr>
      <w:r>
        <w:rPr>
          <w:rFonts w:ascii="Calibri" w:cs="Calibri" w:eastAsia="Calibri" w:hAnsi="Calibri"/>
          <w:sz w:val="23"/>
          <w:szCs w:val="23"/>
        </w:rPr>
        <w:t xml:space="preserve">Option two is debt, likely an MTN issue under the existing A$5 billion programme. At an estimated 5.75% pre-tax, the after-tax cost is 4.03%. Debt preserves cash and enables faster deployment, consistent with trade-off theory. However, A$46 million in extra interest would cut coverage to 2.84 times, pressuring the rating.</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14: Financing Option 3: Combined Financing</w:t>
      </w:r>
    </w:p>
    <w:p>
      <w:pPr>
        <w:spacing w:after="60" w:line="300"/>
        <w:jc w:val="both"/>
      </w:pPr>
      <w:r>
        <w:rPr>
          <w:rFonts w:ascii="Calibri" w:cs="Calibri" w:eastAsia="Calibri" w:hAnsi="Calibri"/>
          <w:sz w:val="23"/>
          <w:szCs w:val="23"/>
        </w:rPr>
        <w:t xml:space="preserve">Option three combines both: A$480 million internal and A$320 million debt. The internal portion, about A$160 million a year, fits comfortably within free cash flow. The debt adds roughly A$18.4 million in interest, keeping coverage at 3.22 times. This balances pecking order preferences with deployment speed and the tax shield.</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15: Financing Cost Calculations and WACC</w:t>
      </w:r>
    </w:p>
    <w:p>
      <w:pPr>
        <w:spacing w:after="60" w:line="300"/>
        <w:jc w:val="both"/>
      </w:pPr>
      <w:r>
        <w:rPr>
          <w:rFonts w:ascii="Calibri" w:cs="Calibri" w:eastAsia="Calibri" w:hAnsi="Calibri"/>
          <w:sz w:val="23"/>
          <w:szCs w:val="23"/>
        </w:rPr>
        <w:t xml:space="preserve">Using CAPM, with a 4.50% risk-free rate, beta of 0.36 and a 6% market risk premium, the cost of equity is 6.66%. The after-tax cost of debt is 4.03%. Weighting equity at 87.7% and debt at 12.3% gives an illustrative WACC of 6.34%. Beta estimates vary, so this is approximate.</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16: Scenario and Sensitivity Analysis</w:t>
      </w:r>
    </w:p>
    <w:p>
      <w:pPr>
        <w:spacing w:after="60" w:line="300"/>
        <w:jc w:val="both"/>
      </w:pPr>
      <w:r>
        <w:rPr>
          <w:rFonts w:ascii="Calibri" w:cs="Calibri" w:eastAsia="Calibri" w:hAnsi="Calibri"/>
          <w:sz w:val="23"/>
          <w:szCs w:val="23"/>
        </w:rPr>
        <w:t xml:space="preserve">Scenario analysis tests the recommendation. Under higher rates, shifting to 70/30 keeps coverage at 3.26 times. In the downside case, if EBIT falls to A$2.4 billion, coverage drops to 2.77 times, below the 3.0 threshold, so the mix should move to 75/25 or fully internal. EBIT stability is therefore critical.</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17: Comparative Financing Decision Matrix</w:t>
      </w:r>
    </w:p>
    <w:p>
      <w:pPr>
        <w:spacing w:after="60" w:line="300"/>
        <w:jc w:val="both"/>
      </w:pPr>
      <w:r>
        <w:rPr>
          <w:rFonts w:ascii="Calibri" w:cs="Calibri" w:eastAsia="Calibri" w:hAnsi="Calibri"/>
          <w:sz w:val="23"/>
          <w:szCs w:val="23"/>
        </w:rPr>
        <w:t xml:space="preserve">The weighted decision matrix scores each option across seven criteria, including cost, liquidity, gearing, flexibility and tax efficiency. The combined option scores highest at 4.00, ahead of internal financing at 3.45 and debt at 2.95. It uses low-cost internal funds while capturing the tax shield and liquidity of moderate debt.</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18: Final Recommendation and Implementation Plan</w:t>
      </w:r>
    </w:p>
    <w:p>
      <w:pPr>
        <w:spacing w:after="60" w:line="300"/>
        <w:jc w:val="both"/>
      </w:pPr>
      <w:r>
        <w:rPr>
          <w:rFonts w:ascii="Calibri" w:cs="Calibri" w:eastAsia="Calibri" w:hAnsi="Calibri"/>
          <w:sz w:val="23"/>
          <w:szCs w:val="23"/>
        </w:rPr>
        <w:t xml:space="preserve">I recommend the CFO and Board finance the A$800 million expansion through 60% internal funds and 40% debt, phased over two to three years. This option scores highest, keeps interest coverage at 3.22 times, protects the BBB rating, and remains viable when adjusted toward 70/30 or 75/25 if conditions worsen.</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19: Critical Evaluation, Limitations and Conclusion</w:t>
      </w:r>
    </w:p>
    <w:p>
      <w:pPr>
        <w:spacing w:after="60" w:line="300"/>
        <w:jc w:val="both"/>
      </w:pPr>
      <w:r>
        <w:rPr>
          <w:rFonts w:ascii="Calibri" w:cs="Calibri" w:eastAsia="Calibri" w:hAnsi="Calibri"/>
          <w:sz w:val="23"/>
          <w:szCs w:val="23"/>
        </w:rPr>
        <w:t xml:space="preserve">In conclusion, Woolworths generates strong cash yet faces margin compression. The most significant risk is continued EBIT decline; below about A$2.57 billion, coverage breaches 3.0 times. The key assumption: operating cash flow above A$4 billion. Limitations include the hypothetical scenario and beta uncertainty. A combined, internally weighted approach is best.</w:t>
      </w:r>
    </w:p>
    <w:p>
      <w:pPr>
        <w:spacing w:after="120"/>
      </w:pPr>
      <w:r>
        <w:rPr>
          <w:rFonts w:ascii="Calibri" w:cs="Calibri" w:eastAsia="Calibri" w:hAnsi="Calibri"/>
          <w:i/>
          <w:iCs/>
          <w:color w:val="666666"/>
          <w:sz w:val="18"/>
          <w:szCs w:val="18"/>
        </w:rPr>
        <w:t xml:space="preserve">50 words</w:t>
      </w:r>
    </w:p>
    <w:p>
      <w:pPr>
        <w:pStyle w:val="Heading2"/>
        <w:keepNext/>
        <w:spacing w:after="80" w:before="240"/>
      </w:pPr>
      <w:r>
        <w:rPr>
          <w:rFonts w:ascii="Calibri" w:cs="Calibri" w:eastAsia="Calibri" w:hAnsi="Calibri"/>
          <w:b/>
          <w:bCs/>
          <w:color w:val="125B3F"/>
          <w:sz w:val="24"/>
          <w:szCs w:val="24"/>
        </w:rPr>
        <w:t xml:space="preserve">Slide 20: References</w:t>
      </w:r>
    </w:p>
    <w:p>
      <w:pPr>
        <w:spacing w:after="60" w:line="300"/>
        <w:jc w:val="both"/>
      </w:pPr>
      <w:r>
        <w:rPr>
          <w:rFonts w:ascii="Calibri" w:cs="Calibri" w:eastAsia="Calibri" w:hAnsi="Calibri"/>
          <w:sz w:val="23"/>
          <w:szCs w:val="23"/>
        </w:rPr>
        <w:t xml:space="preserve">Finally, these references support the analysis, including Woolworths' 2024 and 2025 annual reports, the FY2025 results announcement, the Moorebank media release, RBA and ABS publications, S&amp;P ratings, and the foundational capital structure theories of Myers and Majluf, and of Kraus and Litzenberger. Thank you; I welcome your questions and discussion.</w:t>
      </w:r>
    </w:p>
    <w:p>
      <w:pPr>
        <w:spacing w:after="120"/>
      </w:pPr>
      <w:r>
        <w:rPr>
          <w:rFonts w:ascii="Calibri" w:cs="Calibri" w:eastAsia="Calibri" w:hAnsi="Calibri"/>
          <w:i/>
          <w:iCs/>
          <w:color w:val="666666"/>
          <w:sz w:val="18"/>
          <w:szCs w:val="18"/>
        </w:rPr>
        <w:t xml:space="preserve">50 words</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Notes</dc:title>
  <cp:lastModifiedBy>Un-named</cp:lastModifiedBy>
  <cp:revision>1</cp:revision>
  <dcterms:created xsi:type="dcterms:W3CDTF">2026-10-12T06:22:03.988Z</dcterms:created>
  <dcterms:modified xsi:type="dcterms:W3CDTF">2026-10-12T06:22:03.988Z</dcterms:modified>
</cp:coreProperties>
</file>

<file path=docProps/custom.xml><?xml version="1.0" encoding="utf-8"?>
<Properties xmlns="http://schemas.openxmlformats.org/officeDocument/2006/custom-properties" xmlns:vt="http://schemas.openxmlformats.org/officeDocument/2006/docPropsVTypes"/>
</file>