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sz w:val="22"/>
          <w:szCs w:val="22"/>
        </w:rPr>
        <w:t xml:space="preserve"/>
      </w:r>
    </w:p>
    <w:p>
      <w:pPr>
        <w:spacing w:before="200" w:after="200"/>
        <w:jc w:val="center"/>
      </w:pPr>
      <w:r>
        <w:rPr>
          <w:rFonts w:ascii="Segoe UI Emoji" w:cs="Segoe UI Emoji" w:eastAsia="Segoe UI Emoji" w:hAnsi="Segoe UI Emoji"/>
          <w:sz w:val="96"/>
          <w:szCs w:val="96"/>
        </w:rPr>
        <w:t xml:space="preserve">🌿</w:t>
      </w:r>
    </w:p>
    <w:p>
      <w:pPr>
        <w:spacing w:before="200" w:after="80"/>
        <w:jc w:val="center"/>
      </w:pPr>
      <w:r>
        <w:rPr>
          <w:rFonts w:ascii="Arial" w:cs="Arial" w:eastAsia="Arial" w:hAnsi="Arial"/>
          <w:b/>
          <w:bCs/>
          <w:color w:val="1A3A6B"/>
          <w:sz w:val="52"/>
          <w:szCs w:val="52"/>
        </w:rPr>
        <w:t xml:space="preserve">Vegetation / Forest Health Monitoring</w:t>
      </w:r>
    </w:p>
    <w:p>
      <w:pPr>
        <w:spacing w:before="80" w:after="400"/>
        <w:jc w:val="center"/>
      </w:pPr>
      <w:r>
        <w:rPr>
          <w:rFonts w:ascii="Arial" w:cs="Arial" w:eastAsia="Arial" w:hAnsi="Arial"/>
          <w:b/>
          <w:bCs/>
          <w:color w:val="2E5090"/>
          <w:sz w:val="36"/>
          <w:szCs w:val="36"/>
        </w:rPr>
        <w:t xml:space="preserve">Using Vegetation Indices and ML Regression</w:t>
      </w:r>
    </w:p>
    <w:p>
      <w:pPr>
        <w:spacing w:before="80" w:after="600"/>
        <w:jc w:val="center"/>
      </w:pPr>
      <w:r>
        <w:rPr>
          <w:rFonts w:ascii="Arial" w:cs="Arial" w:eastAsia="Arial" w:hAnsi="Arial"/>
          <w:i/>
          <w:iCs/>
          <w:color w:val="555555"/>
          <w:sz w:val="26"/>
          <w:szCs w:val="26"/>
        </w:rPr>
        <w:t xml:space="preserve">A Complete End-to-End Data Science &amp; Remote Sensing Project</w:t>
      </w:r>
    </w:p>
    <w:p>
      <w:pPr>
        <w:pBdr>
          <w:bottom w:val="single" w:color="2E5090" w:sz="6" w:space="1"/>
        </w:pBdr>
        <w:spacing w:before="80" w:after="80"/>
      </w:pPr>
      <w:r>
        <w:t xml:space="preserve"/>
      </w:r>
    </w:p>
    <w:p>
      <w:pPr>
        <w:spacing w:before="200" w:after="80"/>
        <w:jc w:val="center"/>
      </w:pPr>
      <w:r>
        <w:rPr>
          <w:rFonts w:ascii="Arial" w:cs="Arial" w:eastAsia="Arial" w:hAnsi="Arial"/>
          <w:color w:val="777777"/>
          <w:sz w:val="24"/>
          <w:szCs w:val="24"/>
        </w:rPr>
        <w:t xml:space="preserve">Project Report  |  2025</w:t>
      </w:r>
    </w:p>
    <w:p>
      <w:pPr>
        <w:spacing w:before="80" w:after="800"/>
        <w:jc w:val="center"/>
      </w:pPr>
      <w:r>
        <w:rPr>
          <w:rFonts w:ascii="Arial" w:cs="Arial" w:eastAsia="Arial" w:hAnsi="Arial"/>
          <w:color w:val="999999"/>
          <w:sz w:val="20"/>
          <w:szCs w:val="20"/>
        </w:rPr>
        <w:t xml:space="preserve">Python 3.8+ · scikit-learn · NumPy · Pandas · Matplotlib · Seaborn</w:t>
      </w:r>
    </w:p>
    <w:p>
      <w:r>
        <w:br w:type="page"/>
      </w:r>
    </w:p>
    <w:p>
      <w:pPr>
        <w:pStyle w:val="Heading1"/>
        <w:spacing w:before="360" w:after="180"/>
      </w:pPr>
      <w:r>
        <w:rPr>
          <w:rFonts w:ascii="Arial" w:cs="Arial" w:eastAsia="Arial" w:hAnsi="Arial"/>
          <w:b/>
          <w:bCs/>
          <w:sz w:val="32"/>
          <w:szCs w:val="32"/>
        </w:rPr>
        <w:t xml:space="preserve">1. Introduction</w:t>
      </w:r>
    </w:p>
    <w:p>
      <w:pPr>
        <w:spacing w:before="80" w:after="80"/>
        <w:jc w:val="both"/>
      </w:pPr>
      <w:r>
        <w:rPr>
          <w:rFonts w:ascii="Arial" w:cs="Arial" w:eastAsia="Arial" w:hAnsi="Arial"/>
          <w:sz w:val="22"/>
          <w:szCs w:val="22"/>
        </w:rPr>
        <w:t xml:space="preserve">Forests and vegetation are among Earth's most vital ecosystems, providing oxygen production, carbon sequestration, biodiversity support, and watershed protection. Continuous, large-scale monitoring of forest health is critical for detecting early signs of stress, disease, drought, or fire damage before they become irreversible.</w:t>
      </w:r>
    </w:p>
    <w:p>
      <w:pPr>
        <w:spacing w:before="80" w:after="80"/>
      </w:pPr>
      <w:r>
        <w:t xml:space="preserve"/>
      </w:r>
    </w:p>
    <w:p>
      <w:pPr>
        <w:spacing w:before="80" w:after="80"/>
        <w:jc w:val="both"/>
      </w:pPr>
      <w:r>
        <w:rPr>
          <w:rFonts w:ascii="Arial" w:cs="Arial" w:eastAsia="Arial" w:hAnsi="Arial"/>
          <w:sz w:val="22"/>
          <w:szCs w:val="22"/>
        </w:rPr>
        <w:t xml:space="preserve">Traditional field-based assessment methods are labor-intensive, expensive, and geographically limited. Satellite remote sensing provides a cost-effective and spatially comprehensive alternative. Modern multispectral satellites (Sentinel-2, Landsat-8/9, MODIS) capture reflectance data across multiple wavelength bands, which can be combined into spectral indices that correlate strongly with vegetation biophysical properties.</w:t>
      </w:r>
    </w:p>
    <w:p>
      <w:pPr>
        <w:spacing w:before="80" w:after="80"/>
      </w:pPr>
      <w:r>
        <w:t xml:space="preserve"/>
      </w:r>
    </w:p>
    <w:p>
      <w:pPr>
        <w:spacing w:before="80" w:after="80"/>
        <w:jc w:val="both"/>
      </w:pPr>
      <w:r>
        <w:rPr>
          <w:rFonts w:ascii="Arial" w:cs="Arial" w:eastAsia="Arial" w:hAnsi="Arial"/>
          <w:sz w:val="22"/>
          <w:szCs w:val="22"/>
        </w:rPr>
        <w:t xml:space="preserve">This project builds a complete end-to-end pipeline that: (1) generates realistic synthetic multispectral data for 1,200 forest parcels across four health states, (2) computes six established vegetation indices, (3) trains and rigorously evaluates 13 machine learning regression models to predict a continuous Forest Health Score (FHS), and (4) produces publication-quality visualizations including spatial maps.</w:t>
      </w:r>
    </w:p>
    <w:p>
      <w:pPr>
        <w:pStyle w:val="Heading1"/>
        <w:spacing w:before="360" w:after="180"/>
      </w:pPr>
      <w:r>
        <w:rPr>
          <w:rFonts w:ascii="Arial" w:cs="Arial" w:eastAsia="Arial" w:hAnsi="Arial"/>
          <w:b/>
          <w:bCs/>
          <w:sz w:val="32"/>
          <w:szCs w:val="32"/>
        </w:rPr>
        <w:t xml:space="preserve">2. Background and Related Work</w:t>
      </w:r>
    </w:p>
    <w:p>
      <w:pPr>
        <w:pStyle w:val="Heading2"/>
        <w:spacing w:before="240" w:after="120"/>
      </w:pPr>
      <w:r>
        <w:rPr>
          <w:rFonts w:ascii="Arial" w:cs="Arial" w:eastAsia="Arial" w:hAnsi="Arial"/>
          <w:b/>
          <w:bCs/>
          <w:color w:val="2E5090"/>
          <w:sz w:val="26"/>
          <w:szCs w:val="26"/>
        </w:rPr>
        <w:t xml:space="preserve">2.1 Remote Sensing for Forest Monitoring</w:t>
      </w:r>
    </w:p>
    <w:p>
      <w:pPr>
        <w:spacing w:before="80" w:after="80"/>
        <w:jc w:val="both"/>
      </w:pPr>
      <w:r>
        <w:rPr>
          <w:rFonts w:ascii="Arial" w:cs="Arial" w:eastAsia="Arial" w:hAnsi="Arial"/>
          <w:sz w:val="22"/>
          <w:szCs w:val="22"/>
        </w:rPr>
        <w:t xml:space="preserve">Passive optical remote sensing measures solar radiation reflected from Earth's surface across discrete spectral bands. Vegetation strongly absorbs red light for photosynthesis while reflecting near-infrared (NIR) radiation — a contrast exploited by nearly all vegetation indices. Key satellite missions include Sentinel-2 (10–20 m resolution, 5-day revisit), Landsat-8/9 (30 m, 16-day), and MODIS (250–1000 m, daily).</w:t>
      </w:r>
    </w:p>
    <w:p>
      <w:pPr>
        <w:pStyle w:val="Heading2"/>
        <w:spacing w:before="240" w:after="120"/>
      </w:pPr>
      <w:r>
        <w:rPr>
          <w:rFonts w:ascii="Arial" w:cs="Arial" w:eastAsia="Arial" w:hAnsi="Arial"/>
          <w:b/>
          <w:bCs/>
          <w:color w:val="2E5090"/>
          <w:sz w:val="26"/>
          <w:szCs w:val="26"/>
        </w:rPr>
        <w:t xml:space="preserve">2.2 Machine Learning in Vegetation Science</w:t>
      </w:r>
    </w:p>
    <w:p>
      <w:pPr>
        <w:spacing w:before="80" w:after="80"/>
        <w:jc w:val="both"/>
      </w:pPr>
      <w:r>
        <w:rPr>
          <w:rFonts w:ascii="Arial" w:cs="Arial" w:eastAsia="Arial" w:hAnsi="Arial"/>
          <w:sz w:val="22"/>
          <w:szCs w:val="22"/>
        </w:rPr>
        <w:t xml:space="preserve">Machine learning has been widely applied to vegetation health assessment. Random Forests and Gradient Boosting have shown strong performance in above-ground biomass estimation (Vafaei et al., 2018). Deep learning CNNs have been applied to tree species classification. Linear regularization methods (Lasso, Ridge) remain competitive when the feature-target relationship is approximately linear, as is the case with index-based health scores.</w:t>
      </w:r>
    </w:p>
    <w:p>
      <w:pPr>
        <w:pStyle w:val="Heading1"/>
        <w:spacing w:before="360" w:after="180"/>
      </w:pPr>
      <w:r>
        <w:rPr>
          <w:rFonts w:ascii="Arial" w:cs="Arial" w:eastAsia="Arial" w:hAnsi="Arial"/>
          <w:b/>
          <w:bCs/>
          <w:sz w:val="32"/>
          <w:szCs w:val="32"/>
        </w:rPr>
        <w:t xml:space="preserve">3. Vegetation Indices</w:t>
      </w:r>
    </w:p>
    <w:p>
      <w:pPr>
        <w:spacing w:before="80" w:after="80"/>
        <w:jc w:val="both"/>
      </w:pPr>
      <w:r>
        <w:rPr>
          <w:rFonts w:ascii="Arial" w:cs="Arial" w:eastAsia="Arial" w:hAnsi="Arial"/>
          <w:sz w:val="22"/>
          <w:szCs w:val="22"/>
        </w:rPr>
        <w:t xml:space="preserve">Six spectral indices are computed from the simulated reflectance bands. Each captures a different aspect of vegetation condition:</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700"/>
        <w:gridCol w:w="4040"/>
      </w:tblGrid>
      <w:tr>
        <w:trPr>
          <w:tblHeader/>
        </w:trP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2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0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NDVI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Normalized Difference Vegetation Index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(NIR − Red) / (NIR + Red)</w:t>
            </w:r>
          </w:p>
        </w:tc>
        <w:tc>
          <w:tcPr>
            <w:tcW w:type="dxa" w:w="4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General plant vigor, photosynthetic activity</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EVI</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Enhanced Vegetation Index</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2.5 × (NIR − Red) / (NIR + 6R − 7.5B + 1)</w:t>
            </w:r>
          </w:p>
        </w:tc>
        <w:tc>
          <w:tcPr>
            <w:tcW w:type="dxa" w:w="40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Improves on NDVI in dense canopy, reduces soil noise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Soil-Adjusted Vegetation Index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((NIR − Red) / (NIR + Red + 0.5)) × 1.5</w:t>
            </w:r>
          </w:p>
        </w:tc>
        <w:tc>
          <w:tcPr>
            <w:tcW w:type="dxa" w:w="4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Minimizes soil brightness influence</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NDRE</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Normalized Difference Red-Edge</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(NIR − RedEdge) / (NIR + RedEdge)</w:t>
            </w:r>
          </w:p>
        </w:tc>
        <w:tc>
          <w:tcPr>
            <w:tcW w:type="dxa" w:w="40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Sensitive to chlorophyll, early stress detection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GNDVI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Green NDVI</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(NIR − Green) / (NIR + Green)</w:t>
            </w:r>
          </w:p>
        </w:tc>
        <w:tc>
          <w:tcPr>
            <w:tcW w:type="dxa" w:w="4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Chlorophyll content, related to nitrogen</w:t>
            </w:r>
          </w:p>
        </w:tc>
      </w:tr>
      <w:tr>
        <w:tc>
          <w:tcPr>
            <w:tcW w:type="dxa" w:w="9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NBR</w:t>
            </w:r>
          </w:p>
        </w:tc>
        <w:tc>
          <w:tcPr>
            <w:tcW w:type="dxa" w:w="2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Normalized Burn Ratio</w:t>
            </w:r>
          </w:p>
        </w:tc>
        <w:tc>
          <w:tcPr>
            <w:tcW w:type="dxa" w:w="27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(NIR − SWIR1) / (NIR + SWIR1)</w:t>
            </w:r>
          </w:p>
        </w:tc>
        <w:tc>
          <w:tcPr>
            <w:tcW w:type="dxa" w:w="40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Fire severity, post-burn recovery monitoring</w:t>
            </w:r>
          </w:p>
        </w:tc>
      </w:tr>
    </w:tbl>
    <w:p>
      <w:pPr>
        <w:spacing w:before="80" w:after="80"/>
      </w:pPr>
      <w:r>
        <w:t xml:space="preserve"/>
      </w:r>
    </w:p>
    <w:p>
      <w:pPr>
        <w:spacing w:before="80" w:after="80"/>
        <w:jc w:val="both"/>
      </w:pPr>
      <w:r>
        <w:rPr>
          <w:rFonts w:ascii="Arial" w:cs="Arial" w:eastAsia="Arial" w:hAnsi="Arial"/>
          <w:sz w:val="22"/>
          <w:szCs w:val="22"/>
        </w:rPr>
        <w:t xml:space="preserve">All indices are computed per-pixel (per forest parcel in this project) from the corresponding reflectance bands. The Forest Health Score (FHS) is a weighted composite of these indices combined with environmental covariates, scaled to a 0–100 range, representing the target variable for regression.</w:t>
      </w:r>
    </w:p>
    <w:p>
      <w:pPr>
        <w:pStyle w:val="Heading1"/>
        <w:spacing w:before="360" w:after="180"/>
      </w:pPr>
      <w:r>
        <w:rPr>
          <w:rFonts w:ascii="Arial" w:cs="Arial" w:eastAsia="Arial" w:hAnsi="Arial"/>
          <w:b/>
          <w:bCs/>
          <w:sz w:val="32"/>
          <w:szCs w:val="32"/>
        </w:rPr>
        <w:t xml:space="preserve">4. Dataset Description</w:t>
      </w:r>
    </w:p>
    <w:p>
      <w:pPr>
        <w:pStyle w:val="Heading2"/>
        <w:spacing w:before="240" w:after="120"/>
      </w:pPr>
      <w:r>
        <w:rPr>
          <w:rFonts w:ascii="Arial" w:cs="Arial" w:eastAsia="Arial" w:hAnsi="Arial"/>
          <w:b/>
          <w:bCs/>
          <w:color w:val="2E5090"/>
          <w:sz w:val="26"/>
          <w:szCs w:val="26"/>
        </w:rPr>
        <w:t xml:space="preserve">4.1 Synthetic Multispectral Data Generation</w:t>
      </w:r>
    </w:p>
    <w:p>
      <w:pPr>
        <w:spacing w:before="80" w:after="80"/>
        <w:jc w:val="both"/>
      </w:pPr>
      <w:r>
        <w:rPr>
          <w:rFonts w:ascii="Arial" w:cs="Arial" w:eastAsia="Arial" w:hAnsi="Arial"/>
          <w:sz w:val="22"/>
          <w:szCs w:val="22"/>
        </w:rPr>
        <w:t xml:space="preserve">Realistic multispectral reflectance values were synthesized for 1,200 forest parcels using Gaussian distributions fitted to real-world spectral signatures of four distinct health states. Each state produces distinct spectral profiles reflecting known biophysical mechanisms.</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144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Health State</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Blue (B2)</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Green (B3)</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Red (B4)</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Red-Edge</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NIR (B8)</w:t>
            </w:r>
          </w:p>
        </w:tc>
        <w:tc>
          <w:tcPr>
            <w:tcW w:type="dxa" w:w="14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SWIR1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0.04±0.01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0.10±0.02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0.15±0.02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0.50±0.05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0.12±0.02</w:t>
            </w:r>
          </w:p>
        </w:tc>
      </w:tr>
      <w:tr>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Stressed</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0.06±0.02</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0.09±0.02</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0.10±0.02</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0.20±0.03</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0.35±0.05</w:t>
            </w:r>
          </w:p>
        </w:tc>
        <w:tc>
          <w:tcPr>
            <w:tcW w:type="dxa" w:w="14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0.20±0.03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Diseased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0.07±0.02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0.08±0.02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0.15±0.03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0.18±0.03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0.25±0.06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0.28±0.04</w:t>
            </w:r>
          </w:p>
        </w:tc>
      </w:tr>
      <w:tr>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Burned</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0.05±0.01</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0.06±0.01</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0.18±0.03</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0.10±0.02</w:t>
            </w:r>
          </w:p>
        </w:tc>
        <w:tc>
          <w:tcPr>
            <w:tcW w:type="dxa" w:w="1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0.10±0.03</w:t>
            </w:r>
          </w:p>
        </w:tc>
        <w:tc>
          <w:tcPr>
            <w:tcW w:type="dxa" w:w="14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0.45±0.06</w:t>
            </w:r>
          </w:p>
        </w:tc>
      </w:tr>
    </w:tbl>
    <w:p>
      <w:pPr>
        <w:spacing w:before="80" w:after="80"/>
      </w:pPr>
      <w:r>
        <w:t xml:space="preserve"/>
      </w:r>
    </w:p>
    <w:p>
      <w:pPr>
        <w:pStyle w:val="Heading2"/>
        <w:spacing w:before="240" w:after="120"/>
      </w:pPr>
      <w:r>
        <w:rPr>
          <w:rFonts w:ascii="Arial" w:cs="Arial" w:eastAsia="Arial" w:hAnsi="Arial"/>
          <w:b/>
          <w:bCs/>
          <w:color w:val="2E5090"/>
          <w:sz w:val="26"/>
          <w:szCs w:val="26"/>
        </w:rPr>
        <w:t xml:space="preserve">4.2 Features and Target Variable</w:t>
      </w:r>
    </w:p>
    <w:p>
      <w:pPr>
        <w:spacing w:before="80" w:after="80"/>
        <w:jc w:val="both"/>
      </w:pPr>
      <w:r>
        <w:rPr>
          <w:rFonts w:ascii="Arial" w:cs="Arial" w:eastAsia="Arial" w:hAnsi="Arial"/>
          <w:sz w:val="22"/>
          <w:szCs w:val="22"/>
        </w:rPr>
        <w:t xml:space="preserve">The 18-dimensional feature vector consists of 6 vegetation indices (NDVI, EVI, SAVI, NDRE, GNDVI, NBR), 6 raw reflectance bands (Blue, Green, Red, Red-Edge, NIR, SWIR1), and 6 environmental covariates: elevation (200–3500 m), slope (0–45°), annual precipitation (300–2500 mm), mean temperature (−5 to 30 °C), canopy cover fraction (0–1), and stand age (5–200 years).</w:t>
      </w:r>
    </w:p>
    <w:p>
      <w:pPr>
        <w:spacing w:before="80" w:after="80"/>
        <w:jc w:val="both"/>
      </w:pPr>
      <w:r>
        <w:rPr>
          <w:rFonts w:ascii="Arial" w:cs="Arial" w:eastAsia="Arial" w:hAnsi="Arial"/>
          <w:sz w:val="22"/>
          <w:szCs w:val="22"/>
        </w:rPr>
        <w:t xml:space="preserve">The target Forest Health Score (FHS) ranges from 0 to 100, computed as a weighted linear combination of the six indices and environmental factors with added Gaussian noise (σ = 3 FHS units) to simulate field measurement uncertainty.</w:t>
      </w:r>
    </w:p>
    <w:p>
      <w:pPr>
        <w:pStyle w:val="Heading1"/>
        <w:spacing w:before="360" w:after="180"/>
      </w:pPr>
      <w:r>
        <w:rPr>
          <w:rFonts w:ascii="Arial" w:cs="Arial" w:eastAsia="Arial" w:hAnsi="Arial"/>
          <w:b/>
          <w:bCs/>
          <w:sz w:val="32"/>
          <w:szCs w:val="32"/>
        </w:rPr>
        <w:t xml:space="preserve">5. Machine Learning Models</w:t>
      </w:r>
    </w:p>
    <w:p>
      <w:pPr>
        <w:pStyle w:val="Heading2"/>
        <w:spacing w:before="240" w:after="120"/>
      </w:pPr>
      <w:r>
        <w:rPr>
          <w:rFonts w:ascii="Arial" w:cs="Arial" w:eastAsia="Arial" w:hAnsi="Arial"/>
          <w:b/>
          <w:bCs/>
          <w:color w:val="2E5090"/>
          <w:sz w:val="26"/>
          <w:szCs w:val="26"/>
        </w:rPr>
        <w:t xml:space="preserve">5.1 Linear Methods</w:t>
      </w:r>
    </w:p>
    <w:p>
      <w:pPr>
        <w:spacing w:before="80" w:after="80"/>
        <w:jc w:val="both"/>
      </w:pPr>
      <w:r>
        <w:rPr>
          <w:rFonts w:ascii="Arial" w:cs="Arial" w:eastAsia="Arial" w:hAnsi="Arial"/>
          <w:sz w:val="22"/>
          <w:szCs w:val="22"/>
        </w:rPr>
        <w:t xml:space="preserve">Five linear regressors were tested. Ordinary Least Squares (Linear Regression) establishes a baseline. Ridge Regression adds L2 regularization to reduce overfitting. Lasso Regression uses L1 regularization for implicit feature selection. ElasticNet combines both penalties. Bayesian Ridge incorporates prior distributions over regression weights, providing uncertainty estimates.</w:t>
      </w:r>
    </w:p>
    <w:p>
      <w:pPr>
        <w:pStyle w:val="Heading2"/>
        <w:spacing w:before="240" w:after="120"/>
      </w:pPr>
      <w:r>
        <w:rPr>
          <w:rFonts w:ascii="Arial" w:cs="Arial" w:eastAsia="Arial" w:hAnsi="Arial"/>
          <w:b/>
          <w:bCs/>
          <w:color w:val="2E5090"/>
          <w:sz w:val="26"/>
          <w:szCs w:val="26"/>
        </w:rPr>
        <w:t xml:space="preserve">5.2 Ensemble Methods</w:t>
      </w:r>
    </w:p>
    <w:p>
      <w:pPr>
        <w:spacing w:before="80" w:after="80"/>
        <w:jc w:val="both"/>
      </w:pPr>
      <w:r>
        <w:rPr>
          <w:rFonts w:ascii="Arial" w:cs="Arial" w:eastAsia="Arial" w:hAnsi="Arial"/>
          <w:sz w:val="22"/>
          <w:szCs w:val="22"/>
        </w:rPr>
        <w:t xml:space="preserve">Random Forest aggregates predictions from 150 decision trees, providing robustness through bagging. Extra Trees (Extremely Randomized Trees) introduces additional randomness in split selection, often improving variance reduction. Gradient Boosting builds trees sequentially to minimize residual errors, using a learning rate of 0.05. AdaBoost re-weights training examples based on previous errors.</w:t>
      </w:r>
    </w:p>
    <w:p>
      <w:pPr>
        <w:pStyle w:val="Heading2"/>
        <w:spacing w:before="240" w:after="120"/>
      </w:pPr>
      <w:r>
        <w:rPr>
          <w:rFonts w:ascii="Arial" w:cs="Arial" w:eastAsia="Arial" w:hAnsi="Arial"/>
          <w:b/>
          <w:bCs/>
          <w:color w:val="2E5090"/>
          <w:sz w:val="26"/>
          <w:szCs w:val="26"/>
        </w:rPr>
        <w:t xml:space="preserve">5.3 Other Methods</w:t>
      </w:r>
    </w:p>
    <w:p>
      <w:pPr>
        <w:spacing w:before="80" w:after="80"/>
        <w:jc w:val="both"/>
      </w:pPr>
      <w:r>
        <w:rPr>
          <w:rFonts w:ascii="Arial" w:cs="Arial" w:eastAsia="Arial" w:hAnsi="Arial"/>
          <w:sz w:val="22"/>
          <w:szCs w:val="22"/>
        </w:rPr>
        <w:t xml:space="preserve">Support Vector Regression with an RBF kernel maps inputs into a high-dimensional feature space. K-Nearest Neighbours (K=7) predicts from the average of nearest training samples. The Multi-Layer Perceptron (3 hidden layers: 128-64-32, ReLU activations) models non-linear relationships. Decision Tree provides an interpretable but potentially overfitting baseline.</w:t>
      </w:r>
    </w:p>
    <w:p>
      <w:pPr>
        <w:pStyle w:val="Heading2"/>
        <w:spacing w:before="240" w:after="120"/>
      </w:pPr>
      <w:r>
        <w:rPr>
          <w:rFonts w:ascii="Arial" w:cs="Arial" w:eastAsia="Arial" w:hAnsi="Arial"/>
          <w:b/>
          <w:bCs/>
          <w:color w:val="2E5090"/>
          <w:sz w:val="26"/>
          <w:szCs w:val="26"/>
        </w:rPr>
        <w:t xml:space="preserve">5.4 Preprocessing and Evaluation</w:t>
      </w:r>
    </w:p>
    <w:p>
      <w:pPr>
        <w:spacing w:before="80" w:after="80"/>
        <w:jc w:val="both"/>
      </w:pPr>
      <w:r>
        <w:rPr>
          <w:rFonts w:ascii="Arial" w:cs="Arial" w:eastAsia="Arial" w:hAnsi="Arial"/>
          <w:sz w:val="22"/>
          <w:szCs w:val="22"/>
        </w:rPr>
        <w:t xml:space="preserve">Features were standardized (zero mean, unit variance) for scale-sensitive models (linear, SVR, KNN, MLP). All models were evaluated using an 80/20 stratified train/test split (960 train, 240 test). Performance metrics include RMSE, MAE, R², Explained Variance Score, and 5-fold cross-validated R² (CV R² Mean ± Std).</w:t>
      </w:r>
    </w:p>
    <w:p>
      <w:pPr>
        <w:pStyle w:val="Heading1"/>
        <w:spacing w:before="360" w:after="180"/>
      </w:pPr>
      <w:r>
        <w:rPr>
          <w:rFonts w:ascii="Arial" w:cs="Arial" w:eastAsia="Arial" w:hAnsi="Arial"/>
          <w:b/>
          <w:bCs/>
          <w:sz w:val="32"/>
          <w:szCs w:val="32"/>
        </w:rPr>
        <w:t xml:space="preserve">6. Results</w:t>
      </w:r>
    </w:p>
    <w:p>
      <w:pPr>
        <w:pStyle w:val="Heading2"/>
        <w:spacing w:before="240" w:after="120"/>
      </w:pPr>
      <w:r>
        <w:rPr>
          <w:rFonts w:ascii="Arial" w:cs="Arial" w:eastAsia="Arial" w:hAnsi="Arial"/>
          <w:b/>
          <w:bCs/>
          <w:color w:val="2E5090"/>
          <w:sz w:val="26"/>
          <w:szCs w:val="26"/>
        </w:rPr>
        <w:t xml:space="preserve">6.1 Model Performance Comparison</w:t>
      </w:r>
    </w:p>
    <w:p>
      <w:pPr>
        <w:spacing w:before="80" w:after="80"/>
        <w:jc w:val="both"/>
      </w:pPr>
      <w:r>
        <w:rPr>
          <w:rFonts w:ascii="Arial" w:cs="Arial" w:eastAsia="Arial" w:hAnsi="Arial"/>
          <w:sz w:val="22"/>
          <w:szCs w:val="22"/>
        </w:rPr>
        <w:t xml:space="preserve">All 13 models achieved exceptional predictive accuracy, with R² scores ranging from 0.9596 to 0.9838. This demonstrates that vegetation indices derived from multispectral data are highly predictive of forest health. Full results sorted by R² are shown below:</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200"/>
        <w:gridCol w:w="1300"/>
        <w:gridCol w:w="234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1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R²</w:t>
            </w:r>
          </w:p>
        </w:tc>
        <w:tc>
          <w:tcPr>
            <w:tcW w:type="dxa" w:w="1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Exp.Var</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CV R² (5-fold)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Lasso Regression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0.9838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0.9833 ± 0.0016</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ElasticNet</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3.128</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2.529</w:t>
            </w:r>
          </w:p>
        </w:tc>
        <w:tc>
          <w:tcPr>
            <w:tcW w:type="dxa" w:w="1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0.9838</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0.9824 ± 0.0017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Ridge Regression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3.136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0.9837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0.9832 ± 0.0016</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Bayesian Ridge</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3.137</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2.516</w:t>
            </w:r>
          </w:p>
        </w:tc>
        <w:tc>
          <w:tcPr>
            <w:tcW w:type="dxa" w:w="1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0.9837</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0.9832 ± 0.0016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Linear Regression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3.152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0.9836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0.9832 ± 0.0016</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Extra Trees</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3.430</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2.708</w:t>
            </w:r>
          </w:p>
        </w:tc>
        <w:tc>
          <w:tcPr>
            <w:tcW w:type="dxa" w:w="1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0.9805</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0.9791 ± 0.0022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Random Forest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3.501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0.9797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0.9786 ± 0.0016</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Gradient Boosting</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3.540</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2.807</w:t>
            </w:r>
          </w:p>
        </w:tc>
        <w:tc>
          <w:tcPr>
            <w:tcW w:type="dxa" w:w="1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0.9793</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0.9786 ± 0.0019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MLP Neural Net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3.606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2.942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0.9785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0.9678 ± 0.0042</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AdaBoost</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3.668</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3.000</w:t>
            </w:r>
          </w:p>
        </w:tc>
        <w:tc>
          <w:tcPr>
            <w:tcW w:type="dxa" w:w="1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0.9777</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0.9758 ± 0.0025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SVR (RBF)</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3.700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0.9773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0.9685 ± 0.0056</w:t>
            </w:r>
          </w:p>
        </w:tc>
      </w:tr>
      <w:tr>
        <w:tc>
          <w:tcPr>
            <w:tcW w:type="dxa" w:w="24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Decision Tree</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4.443</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3.465</w:t>
            </w:r>
          </w:p>
        </w:tc>
        <w:tc>
          <w:tcPr>
            <w:tcW w:type="dxa" w:w="12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0.9673</w:t>
            </w:r>
          </w:p>
        </w:tc>
        <w:tc>
          <w:tcPr>
            <w:tcW w:type="dxa" w:w="13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0.9612 ± 0.0039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KNN Regressor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4.937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3.995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0.9596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0.9565 ± 0.0019</w:t>
            </w:r>
          </w:p>
        </w:tc>
      </w:tr>
    </w:tbl>
    <w:p>
      <w:pPr>
        <w:spacing w:before="80" w:after="80"/>
      </w:pPr>
      <w:r>
        <w:t xml:space="preserve"/>
      </w:r>
    </w:p>
    <w:p>
      <w:pPr>
        <w:pStyle w:val="Heading2"/>
        <w:spacing w:before="240" w:after="120"/>
      </w:pPr>
      <w:r>
        <w:rPr>
          <w:rFonts w:ascii="Arial" w:cs="Arial" w:eastAsia="Arial" w:hAnsi="Arial"/>
          <w:b/>
          <w:bCs/>
          <w:color w:val="2E5090"/>
          <w:sz w:val="26"/>
          <w:szCs w:val="26"/>
        </w:rPr>
        <w:t xml:space="preserve">6.2 Key Findings</w:t>
      </w:r>
    </w:p>
    <w:p>
      <w:pPr>
        <w:spacing w:before="80" w:after="80"/>
        <w:jc w:val="both"/>
      </w:pPr>
      <w:r>
        <w:rPr>
          <w:rFonts w:ascii="Arial" w:cs="Arial" w:eastAsia="Arial" w:hAnsi="Arial"/>
          <w:sz w:val="22"/>
          <w:szCs w:val="22"/>
        </w:rPr>
        <w:t xml:space="preserve">Lasso Regression achieved the highest R² (0.9838) and lowest RMSE (3.124 FHS units), suggesting a near-linear relationship between vegetation indices and FHS with some irrelevant features. ElasticNet and Ridge were statistically tied at R² ≈ 0.9838. Tree ensemble methods (Random Forest R²=0.9797, Extra Trees R²=0.9805) performed slightly below linear models but captured non-linear interactions. KNN showed the lowest performance (R²=0.9596), expected for distance-based methods in high-dimensional space.</w:t>
      </w:r>
    </w:p>
    <w:p>
      <w:pPr>
        <w:spacing w:before="80" w:after="80"/>
      </w:pPr>
      <w:r>
        <w:t xml:space="preserve"/>
      </w:r>
    </w:p>
    <w:p>
      <w:pPr>
        <w:spacing w:before="80" w:after="80"/>
        <w:jc w:val="both"/>
      </w:pPr>
      <w:r>
        <w:rPr>
          <w:rFonts w:ascii="Arial" w:cs="Arial" w:eastAsia="Arial" w:hAnsi="Arial"/>
          <w:sz w:val="22"/>
          <w:szCs w:val="22"/>
        </w:rPr>
        <w:t xml:space="preserve">Cross-validation R² closely tracked test R² across all models, confirming stable generalization and ruling out overfitting. The narrow standard deviations (≤ 0.006) across all CV folds indicate robust, dataset-independent performance.</w:t>
      </w:r>
    </w:p>
    <w:p>
      <w:pPr>
        <w:pStyle w:val="Heading2"/>
        <w:spacing w:before="240" w:after="120"/>
      </w:pPr>
      <w:r>
        <w:rPr>
          <w:rFonts w:ascii="Arial" w:cs="Arial" w:eastAsia="Arial" w:hAnsi="Arial"/>
          <w:b/>
          <w:bCs/>
          <w:color w:val="2E5090"/>
          <w:sz w:val="26"/>
          <w:szCs w:val="26"/>
        </w:rPr>
        <w:t xml:space="preserve">6.3 Feature Importance (Random Forest)</w:t>
      </w:r>
    </w:p>
    <w:p>
      <w:pPr>
        <w:spacing w:before="80" w:after="80"/>
        <w:jc w:val="both"/>
      </w:pPr>
      <w:r>
        <w:rPr>
          <w:rFonts w:ascii="Arial" w:cs="Arial" w:eastAsia="Arial" w:hAnsi="Arial"/>
          <w:sz w:val="22"/>
          <w:szCs w:val="22"/>
        </w:rPr>
        <w:t xml:space="preserve">Random Forest feature importances revealed that NDVI, NIR reflectance, NBR, precipitation, and GNDVI were the top predictors — consistent with vegetation science theory. Raw band reflectances provided complementary information beyond indices alone, justifying the inclusion of both in the feature set.</w:t>
      </w:r>
    </w:p>
    <w:p>
      <w:pPr>
        <w:pStyle w:val="Heading1"/>
        <w:spacing w:before="360" w:after="180"/>
      </w:pPr>
      <w:r>
        <w:rPr>
          <w:rFonts w:ascii="Arial" w:cs="Arial" w:eastAsia="Arial" w:hAnsi="Arial"/>
          <w:b/>
          <w:bCs/>
          <w:sz w:val="32"/>
          <w:szCs w:val="32"/>
        </w:rPr>
        <w:t xml:space="preserve">7. Visualizations</w:t>
      </w:r>
    </w:p>
    <w:p>
      <w:pPr>
        <w:spacing w:before="80" w:after="80"/>
        <w:jc w:val="both"/>
      </w:pPr>
      <w:r>
        <w:rPr>
          <w:rFonts w:ascii="Arial" w:cs="Arial" w:eastAsia="Arial" w:hAnsi="Arial"/>
          <w:sz w:val="22"/>
          <w:szCs w:val="22"/>
        </w:rPr>
        <w:t xml:space="preserve">The project generates four output figures:</w:t>
      </w:r>
    </w:p>
    <w:p>
      <w:pPr>
        <w:spacing w:before="80" w:after="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68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vegetation_health_dashboard.png</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 panel dashboard: NDVI distributions, correlation heatmap, NDVI vs NBR scatter, model R² comparison, RMSE/MAE bars, actual vs predicted, FHS distribution, Random Forest importances, and CV R² results.</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spatial_health_map.png</w:t>
            </w:r>
          </w:p>
        </w:tc>
        <w:tc>
          <w:tcPr>
            <w:tcW w:type="dxa" w:w="68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Simulated 2-D spatial raster maps of NDVI, NBR, and FHS showing spatial heterogeneity in forest health conditions across a study area.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vegetation_health_report.csv</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dataset (1,200 parcels) with all band reflectances, vegetation indices, environmental covariates, health class labels, and computed FHS values.</w:t>
            </w:r>
          </w:p>
        </w:tc>
      </w:tr>
      <w:tr>
        <w:tc>
          <w:tcPr>
            <w:tcW w:type="dxa" w:w="300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model_results.csv</w:t>
            </w:r>
          </w:p>
        </w:tc>
        <w:tc>
          <w:tcPr>
            <w:tcW w:type="dxa" w:w="6840"/>
            <w:tcBorders>
              <w:top w:val="single" w:color="CCCCCC" w:sz="1"/>
              <w:left w:val="single" w:color="CCCCCC" w:sz="1"/>
              <w:bottom w:val="single" w:color="CCCCCC" w:sz="1"/>
              <w:right w:val="single" w:color="CCCCCC" w:sz="1"/>
            </w:tcBorders>
            <w:shd w:fill="EEF2F8" w:val="clear"/>
            <w:tcMar>
              <w:top w:type="dxa" w:w="60"/>
              <w:left w:type="dxa" w:w="120"/>
              <w:bottom w:type="dxa" w:w="60"/>
              <w:right w:type="dxa" w:w="120"/>
            </w:tcMar>
          </w:tcPr>
          <w:p>
            <w:r>
              <w:rPr>
                <w:rFonts w:ascii="Arial" w:cs="Arial" w:eastAsia="Arial" w:hAnsi="Arial"/>
                <w:sz w:val="20"/>
                <w:szCs w:val="20"/>
              </w:rPr>
              <w:t xml:space="preserve">Tabular performance summary of all 13 models (RMSE, MAE, R², Explained Variance, CV R² Mean and Std), sorted by R².</w:t>
            </w:r>
          </w:p>
        </w:tc>
      </w:tr>
    </w:tbl>
    <w:p>
      <w:pPr>
        <w:pStyle w:val="Heading1"/>
        <w:spacing w:before="360" w:after="180"/>
      </w:pPr>
      <w:r>
        <w:rPr>
          <w:rFonts w:ascii="Arial" w:cs="Arial" w:eastAsia="Arial" w:hAnsi="Arial"/>
          <w:b/>
          <w:bCs/>
          <w:sz w:val="32"/>
          <w:szCs w:val="32"/>
        </w:rPr>
        <w:t xml:space="preserve">8. How to Run</w:t>
      </w:r>
    </w:p>
    <w:p>
      <w:pPr>
        <w:pStyle w:val="Heading2"/>
        <w:spacing w:before="240" w:after="120"/>
      </w:pPr>
      <w:r>
        <w:rPr>
          <w:rFonts w:ascii="Arial" w:cs="Arial" w:eastAsia="Arial" w:hAnsi="Arial"/>
          <w:b/>
          <w:bCs/>
          <w:color w:val="2E5090"/>
          <w:sz w:val="26"/>
          <w:szCs w:val="26"/>
        </w:rPr>
        <w:t xml:space="preserve">8.1 Requirements</w:t>
      </w:r>
    </w:p>
    <w:p>
      <w:pPr>
        <w:spacing w:before="80" w:after="80"/>
        <w:jc w:val="both"/>
      </w:pPr>
      <w:r>
        <w:rPr>
          <w:rFonts w:ascii="Arial" w:cs="Arial" w:eastAsia="Arial" w:hAnsi="Arial"/>
          <w:sz w:val="22"/>
          <w:szCs w:val="22"/>
        </w:rPr>
        <w:t xml:space="preserve">Python 3.8 or higher is required. Install dependencies using pip:</w:t>
      </w:r>
    </w:p>
    <w:p>
      <w:pPr>
        <w:spacing w:before="80" w:after="80"/>
      </w:pPr>
      <w:r>
        <w:t xml:space="preserve"/>
      </w:r>
    </w:p>
    <w:p>
      <w:pPr>
        <w:pBdr>
          <w:left w:val="single" w:color="2E5090" w:sz="8" w:space="4"/>
        </w:pBdr>
        <w:shd w:fill="F4F6FA" w:val="clear"/>
        <w:spacing w:before="120" w:after="120"/>
        <w:ind w:left="360"/>
      </w:pPr>
      <w:r>
        <w:rPr>
          <w:rFonts w:ascii="Courier New" w:cs="Courier New" w:eastAsia="Courier New" w:hAnsi="Courier New"/>
          <w:color w:val="333333"/>
          <w:sz w:val="20"/>
          <w:szCs w:val="20"/>
        </w:rPr>
        <w:t xml:space="preserve">pip install numpy pandas scikit-learn matplotlib seaborn</w:t>
      </w:r>
    </w:p>
    <w:p>
      <w:pPr>
        <w:spacing w:before="80" w:after="80"/>
      </w:pPr>
      <w:r>
        <w:t xml:space="preserve"/>
      </w:r>
    </w:p>
    <w:p>
      <w:pPr>
        <w:pStyle w:val="Heading2"/>
        <w:spacing w:before="240" w:after="120"/>
      </w:pPr>
      <w:r>
        <w:rPr>
          <w:rFonts w:ascii="Arial" w:cs="Arial" w:eastAsia="Arial" w:hAnsi="Arial"/>
          <w:b/>
          <w:bCs/>
          <w:color w:val="2E5090"/>
          <w:sz w:val="26"/>
          <w:szCs w:val="26"/>
        </w:rPr>
        <w:t xml:space="preserve">8.2 Execution</w:t>
      </w:r>
    </w:p>
    <w:p>
      <w:pPr>
        <w:spacing w:before="80" w:after="80"/>
        <w:jc w:val="both"/>
      </w:pPr>
      <w:r>
        <w:rPr>
          <w:rFonts w:ascii="Arial" w:cs="Arial" w:eastAsia="Arial" w:hAnsi="Arial"/>
          <w:sz w:val="22"/>
          <w:szCs w:val="22"/>
        </w:rPr>
        <w:t xml:space="preserve">Run the main script from the project directory:</w:t>
      </w:r>
    </w:p>
    <w:p>
      <w:pPr>
        <w:spacing w:before="80" w:after="80"/>
      </w:pPr>
      <w:r>
        <w:t xml:space="preserve"/>
      </w:r>
    </w:p>
    <w:p>
      <w:pPr>
        <w:pBdr>
          <w:left w:val="single" w:color="2E5090" w:sz="8" w:space="4"/>
        </w:pBdr>
        <w:shd w:fill="F4F6FA" w:val="clear"/>
        <w:spacing w:before="120" w:after="120"/>
        <w:ind w:left="360"/>
      </w:pPr>
      <w:r>
        <w:rPr>
          <w:rFonts w:ascii="Courier New" w:cs="Courier New" w:eastAsia="Courier New" w:hAnsi="Courier New"/>
          <w:color w:val="333333"/>
          <w:sz w:val="20"/>
          <w:szCs w:val="20"/>
        </w:rPr>
        <w:t xml:space="preserve">python vegetation_health_monitoring.py</w:t>
      </w:r>
    </w:p>
    <w:p>
      <w:pPr>
        <w:spacing w:before="80" w:after="80"/>
      </w:pPr>
      <w:r>
        <w:t xml:space="preserve"/>
      </w:r>
    </w:p>
    <w:p>
      <w:pPr>
        <w:spacing w:before="80" w:after="80"/>
        <w:jc w:val="both"/>
      </w:pPr>
      <w:r>
        <w:rPr>
          <w:rFonts w:ascii="Arial" w:cs="Arial" w:eastAsia="Arial" w:hAnsi="Arial"/>
          <w:sz w:val="22"/>
          <w:szCs w:val="22"/>
        </w:rPr>
        <w:t xml:space="preserve">The script will print progress and metrics to the console and save all output files to the working directory. Runtime is approximately 60–120 seconds depending on hardware.</w:t>
      </w:r>
    </w:p>
    <w:p>
      <w:pPr>
        <w:pStyle w:val="Heading2"/>
        <w:spacing w:before="240" w:after="120"/>
      </w:pPr>
      <w:r>
        <w:rPr>
          <w:rFonts w:ascii="Arial" w:cs="Arial" w:eastAsia="Arial" w:hAnsi="Arial"/>
          <w:b/>
          <w:bCs/>
          <w:color w:val="2E5090"/>
          <w:sz w:val="26"/>
          <w:szCs w:val="26"/>
        </w:rPr>
        <w:t xml:space="preserve">8.3 Project Structure</w:t>
      </w:r>
    </w:p>
    <w:p>
      <w:pPr>
        <w:spacing w:before="80" w:after="80"/>
      </w:pPr>
      <w:r>
        <w:t xml:space="preserve"/>
      </w:r>
    </w:p>
    <w:p>
      <w:pPr>
        <w:pBdr>
          <w:left w:val="single" w:color="2E5090" w:sz="8" w:space="4"/>
        </w:pBdr>
        <w:shd w:fill="F4F6FA" w:val="clear"/>
        <w:spacing w:before="120" w:after="120"/>
        <w:ind w:left="360"/>
      </w:pPr>
      <w:r>
        <w:rPr>
          <w:rFonts w:ascii="Courier New" w:cs="Courier New" w:eastAsia="Courier New" w:hAnsi="Courier New"/>
          <w:color w:val="333333"/>
          <w:sz w:val="18"/>
          <w:szCs w:val="18"/>
        </w:rPr>
        <w:t xml:space="preserve">vegetation-health-monitoring/
├── vegetation_health_monitoring.py   # Main pipeline
├── vegetation_health_dashboard.png   # Output: main dashboard
├── spatial_health_map.png            # Output: spatial raster maps
├── vegetation_health_report.csv      # Output: full dataset
└── model_results.csv                 # Output: model metrics</w:t>
      </w:r>
    </w:p>
    <w:p>
      <w:pPr>
        <w:pStyle w:val="Heading1"/>
        <w:spacing w:before="360" w:after="180"/>
      </w:pPr>
      <w:r>
        <w:rPr>
          <w:rFonts w:ascii="Arial" w:cs="Arial" w:eastAsia="Arial" w:hAnsi="Arial"/>
          <w:b/>
          <w:bCs/>
          <w:sz w:val="32"/>
          <w:szCs w:val="32"/>
        </w:rPr>
        <w:t xml:space="preserve">9. Conclusion and Future Work</w:t>
      </w:r>
    </w:p>
    <w:p>
      <w:pPr>
        <w:spacing w:before="80" w:after="80"/>
        <w:jc w:val="both"/>
      </w:pPr>
      <w:r>
        <w:rPr>
          <w:rFonts w:ascii="Arial" w:cs="Arial" w:eastAsia="Arial" w:hAnsi="Arial"/>
          <w:sz w:val="22"/>
          <w:szCs w:val="22"/>
        </w:rPr>
        <w:t xml:space="preserve">This project demonstrates a rigorous, end-to-end pipeline for vegetation health monitoring using multispectral remote sensing and machine learning regression. All 13 tested models achieved R² &gt; 0.95, with linear regularized methods (Lasso, Ridge, ElasticNet) attaining the best performance (R² ≈ 0.984), reflecting the strong linear relationship between spectral indices and composite health scores.</w:t>
      </w:r>
    </w:p>
    <w:p>
      <w:pPr>
        <w:spacing w:before="80" w:after="80"/>
      </w:pPr>
      <w:r>
        <w:t xml:space="preserve"/>
      </w:r>
    </w:p>
    <w:p>
      <w:pPr>
        <w:spacing w:before="80" w:after="80"/>
        <w:jc w:val="both"/>
      </w:pPr>
      <w:r>
        <w:rPr>
          <w:rFonts w:ascii="Arial" w:cs="Arial" w:eastAsia="Arial" w:hAnsi="Arial"/>
          <w:sz w:val="22"/>
          <w:szCs w:val="22"/>
        </w:rPr>
        <w:t xml:space="preserve">The near-linear best performance suggests that the chosen vegetation indices effectively linearize the spectral-health relationship. For operational systems targeting real satellite data, ensemble methods (Random Forest, Gradient Boosting) may prove more robust to sensor noise, atmospheric correction errors, and class imbalance.</w:t>
      </w:r>
    </w:p>
    <w:p>
      <w:pPr>
        <w:spacing w:before="80" w:after="80"/>
      </w:pPr>
      <w:r>
        <w:t xml:space="preserve"/>
      </w:r>
    </w:p>
    <w:p>
      <w:pPr>
        <w:pStyle w:val="Heading2"/>
        <w:spacing w:before="240" w:after="120"/>
      </w:pPr>
      <w:r>
        <w:rPr>
          <w:rFonts w:ascii="Arial" w:cs="Arial" w:eastAsia="Arial" w:hAnsi="Arial"/>
          <w:b/>
          <w:bCs/>
          <w:color w:val="2E5090"/>
          <w:sz w:val="26"/>
          <w:szCs w:val="26"/>
        </w:rPr>
        <w:t xml:space="preserve">9.1 Future Extensions</w:t>
      </w:r>
    </w:p>
    <w:p>
      <w:pPr>
        <w:spacing w:before="80" w:after="80"/>
        <w:jc w:val="both"/>
      </w:pPr>
      <w:r>
        <w:rPr>
          <w:rFonts w:ascii="Arial" w:cs="Arial" w:eastAsia="Arial" w:hAnsi="Arial"/>
          <w:sz w:val="22"/>
          <w:szCs w:val="22"/>
        </w:rPr>
        <w:t xml:space="preserve">Several avenues can extend this work: (1) Integration of real Sentinel-2 or Landsat imagery using APIs such as Google Earth Engine. (2) Time-series analysis using LSTM networks or seasonal decomposition to track health trajectories. (3) Incorporating LiDAR data for 3-D canopy structure characterization. (4) Transfer learning from pre-trained vision models for pixel-level segmentation. (5) Bayesian optimization for automated hyperparameter tuning. (6) Uncertainty quantification using conformal prediction or Gaussian Process regression.</w:t>
      </w:r>
    </w:p>
    <w:p>
      <w:pPr>
        <w:pStyle w:val="Heading1"/>
        <w:spacing w:before="360" w:after="180"/>
      </w:pPr>
      <w:r>
        <w:rPr>
          <w:rFonts w:ascii="Arial" w:cs="Arial" w:eastAsia="Arial" w:hAnsi="Arial"/>
          <w:b/>
          <w:bCs/>
          <w:sz w:val="32"/>
          <w:szCs w:val="32"/>
        </w:rPr>
        <w:t xml:space="preserve">10. References</w:t>
      </w:r>
    </w:p>
    <w:p>
      <w:pPr>
        <w:spacing w:before="80" w:after="80"/>
        <w:jc w:val="both"/>
      </w:pPr>
      <w:r>
        <w:rPr>
          <w:rFonts w:ascii="Arial" w:cs="Arial" w:eastAsia="Arial" w:hAnsi="Arial"/>
          <w:sz w:val="22"/>
          <w:szCs w:val="22"/>
        </w:rPr>
        <w:t xml:space="preserve">Huete, A. et al. (2002). Overview of the radiometric and biophysical performance of the MODIS vegetation indices. Remote Sensing of Environment, 83(1–2), 195–213.</w:t>
      </w:r>
    </w:p>
    <w:p>
      <w:pPr>
        <w:spacing w:before="80" w:after="80"/>
      </w:pPr>
      <w:r>
        <w:t xml:space="preserve"/>
      </w:r>
    </w:p>
    <w:p>
      <w:pPr>
        <w:spacing w:before="80" w:after="80"/>
        <w:jc w:val="both"/>
      </w:pPr>
      <w:r>
        <w:rPr>
          <w:rFonts w:ascii="Arial" w:cs="Arial" w:eastAsia="Arial" w:hAnsi="Arial"/>
          <w:sz w:val="22"/>
          <w:szCs w:val="22"/>
        </w:rPr>
        <w:t xml:space="preserve">Rouse, J. W. et al. (1974). Monitoring vegetation systems in the Great Plains with ERTS. Proceedings of the 3rd ERTS Symposium. NASA SP-351, 309–317.</w:t>
      </w:r>
    </w:p>
    <w:p>
      <w:pPr>
        <w:spacing w:before="80" w:after="80"/>
      </w:pPr>
      <w:r>
        <w:t xml:space="preserve"/>
      </w:r>
    </w:p>
    <w:p>
      <w:pPr>
        <w:spacing w:before="80" w:after="80"/>
        <w:jc w:val="both"/>
      </w:pPr>
      <w:r>
        <w:rPr>
          <w:rFonts w:ascii="Arial" w:cs="Arial" w:eastAsia="Arial" w:hAnsi="Arial"/>
          <w:sz w:val="22"/>
          <w:szCs w:val="22"/>
        </w:rPr>
        <w:t xml:space="preserve">Gitelson, A. A., &amp; Merzlyak, M. N. (1998). Remote sensing of chlorophyll concentration in higher plant leaves. Advances in Space Research, 22(5), 689–692.</w:t>
      </w:r>
    </w:p>
    <w:p>
      <w:pPr>
        <w:spacing w:before="80" w:after="80"/>
      </w:pPr>
      <w:r>
        <w:t xml:space="preserve"/>
      </w:r>
    </w:p>
    <w:p>
      <w:pPr>
        <w:spacing w:before="80" w:after="80"/>
        <w:jc w:val="both"/>
      </w:pPr>
      <w:r>
        <w:rPr>
          <w:rFonts w:ascii="Arial" w:cs="Arial" w:eastAsia="Arial" w:hAnsi="Arial"/>
          <w:sz w:val="22"/>
          <w:szCs w:val="22"/>
        </w:rPr>
        <w:t xml:space="preserve">Vafaei, S. et al. (2018). Improving accuracy estimation of Forest aboveground biomass based on incorporation of ALOS-2 PALSAR-2 and Sentinel-2A imagery and machine learning: A case study of the Hyrcanian forest region. Remote Sensing, 10(2), 172.</w:t>
      </w:r>
    </w:p>
    <w:p>
      <w:pPr>
        <w:spacing w:before="80" w:after="80"/>
      </w:pPr>
      <w:r>
        <w:t xml:space="preserve"/>
      </w:r>
    </w:p>
    <w:p>
      <w:pPr>
        <w:spacing w:before="80" w:after="80"/>
        <w:jc w:val="both"/>
      </w:pPr>
      <w:r>
        <w:rPr>
          <w:rFonts w:ascii="Arial" w:cs="Arial" w:eastAsia="Arial" w:hAnsi="Arial"/>
          <w:sz w:val="22"/>
          <w:szCs w:val="22"/>
        </w:rPr>
        <w:t xml:space="preserve">Pedregosa, F. et al. (2011). Scikit-learn: Machine Learning in Python. Journal of Machine Learning Research, 12, 2825–2830.</w:t>
      </w:r>
    </w:p>
    <w:p>
      <w:pPr>
        <w:spacing w:before="80" w:after="80"/>
      </w:pPr>
      <w:r>
        <w:t xml:space="preserve"/>
      </w:r>
    </w:p>
    <w:p>
      <w:pPr>
        <w:spacing w:before="80" w:after="80"/>
        <w:jc w:val="both"/>
      </w:pPr>
      <w:r>
        <w:rPr>
          <w:rFonts w:ascii="Arial" w:cs="Arial" w:eastAsia="Arial" w:hAnsi="Arial"/>
          <w:sz w:val="22"/>
          <w:szCs w:val="22"/>
        </w:rPr>
        <w:t xml:space="preserve">Key, C. H., &amp; Benson, N. C. (2006). Landscape assessment: Ground measure of severity, the Composite Burn Index. FIREMON: Fire Effects Monitoring and Inventory System, LA1–LA51.</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 2025 Forest Health Analytics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pPr>
    <w:r>
      <w:rPr>
        <w:rFonts w:ascii="Arial" w:cs="Arial" w:eastAsia="Arial" w:hAnsi="Arial"/>
        <w:i/>
        <w:iCs/>
        <w:color w:val="555555"/>
        <w:sz w:val="18"/>
        <w:szCs w:val="18"/>
      </w:rPr>
      <w:t xml:space="preserve">Vegetation / Forest Health Monitoring – ML Regression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2026-02-20T18:46:57.566Z</dcterms:created>
  <dcterms:modified xsi:type="dcterms:W3CDTF">2026-02-20T18:46:57.567Z</dcterms:modified>
</cp:coreProperties>
</file>

<file path=docProps/custom.xml><?xml version="1.0" encoding="utf-8"?>
<Properties xmlns="http://schemas.openxmlformats.org/officeDocument/2006/custom-properties" xmlns:vt="http://schemas.openxmlformats.org/officeDocument/2006/docPropsVTypes"/>
</file>