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pPr>
      <w:r>
        <w:rPr>
          <w:rFonts w:ascii="Arial" w:cs="Arial" w:eastAsia="Arial" w:hAnsi="Arial"/>
          <w:b/>
          <w:bCs/>
          <w:color w:val="1F4E79"/>
          <w:sz w:val="52"/>
          <w:szCs w:val="52"/>
        </w:rPr>
        <w:t xml:space="preserve">SMART PORTABLE PATIENT MONITORING DEVICE</w:t>
      </w:r>
    </w:p>
    <w:p>
      <w:pPr>
        <w:spacing w:before="0" w:after="120"/>
      </w:pPr>
      <w:r>
        <w:rPr>
          <w:rFonts w:ascii="Arial" w:cs="Arial" w:eastAsia="Arial" w:hAnsi="Arial"/>
          <w:b/>
          <w:bCs/>
          <w:color w:val="2E75B6"/>
          <w:sz w:val="36"/>
          <w:szCs w:val="36"/>
        </w:rPr>
        <w:t xml:space="preserve">Clinical Knowledge Base for AI Model Training</w:t>
      </w:r>
    </w:p>
    <w:p>
      <w:pPr>
        <w:pBdr>
          <w:bottom w:val="single" w:color="2E75B6" w:sz="4" w:space="1"/>
        </w:pBdr>
        <w:spacing w:before="80" w:after="80"/>
      </w:pPr>
      <w:r>
        <w:t xml:space="preserve"/>
      </w:r>
    </w:p>
    <w:p>
      <w:pPr>
        <w:spacing w:before="60" w:after="60"/>
      </w:pPr>
      <w:r>
        <w:rPr>
          <w:rFonts w:ascii="Arial" w:cs="Arial" w:eastAsia="Arial" w:hAnsi="Arial"/>
          <w:b w:val="false"/>
          <w:bCs w:val="false"/>
          <w:color w:val="595959"/>
          <w:sz w:val="20"/>
          <w:szCs w:val="20"/>
        </w:rPr>
        <w:t xml:space="preserve">Version 1.0  |  Sensors: MAX30102 (HR, SpO₂) · LM35 (Temperature)</w:t>
      </w:r>
    </w:p>
    <w:p>
      <w:pPr>
        <w:spacing w:before="60" w:after="60"/>
      </w:pPr>
      <w:r>
        <w:rPr>
          <w:rFonts w:ascii="Arial" w:cs="Arial" w:eastAsia="Arial" w:hAnsi="Arial"/>
          <w:b w:val="false"/>
          <w:bCs w:val="false"/>
          <w:color w:val="595959"/>
          <w:sz w:val="20"/>
          <w:szCs w:val="20"/>
        </w:rPr>
        <w:t xml:space="preserve">Parameters: Heart Rate · SpO₂ · Body Temperature · Derived Indices</w:t>
      </w:r>
    </w:p>
    <w:p>
      <w:pPr>
        <w:spacing w:before="120" w:after="80"/>
      </w:pPr>
      <w:r>
        <w:rPr>
          <w:rFonts w:ascii="Arial" w:cs="Arial" w:eastAsia="Arial" w:hAnsi="Arial"/>
          <w:b/>
          <w:bCs/>
          <w:color w:val="000000"/>
          <w:sz w:val="22"/>
          <w:szCs w:val="22"/>
        </w:rPr>
        <w:t xml:space="preserve">Clinical Sources Referenced</w:t>
      </w:r>
    </w:p>
    <w:p>
      <w:pPr>
        <w:pStyle w:val="ListParagraph"/>
        <w:numPr>
          <w:ilvl w:val="0"/>
          <w:numId w:val="2"/>
        </w:numPr>
        <w:spacing w:before="40" w:after="40"/>
      </w:pPr>
      <w:r>
        <w:rPr>
          <w:rFonts w:ascii="Arial" w:cs="Arial" w:eastAsia="Arial" w:hAnsi="Arial"/>
          <w:sz w:val="20"/>
          <w:szCs w:val="20"/>
        </w:rPr>
        <w:t xml:space="preserve">AHA/ACC Guidelines 2022–2023 (Cardiovascular)</w:t>
      </w:r>
    </w:p>
    <w:p>
      <w:pPr>
        <w:pStyle w:val="ListParagraph"/>
        <w:numPr>
          <w:ilvl w:val="0"/>
          <w:numId w:val="2"/>
        </w:numPr>
        <w:spacing w:before="40" w:after="40"/>
      </w:pPr>
      <w:r>
        <w:rPr>
          <w:rFonts w:ascii="Arial" w:cs="Arial" w:eastAsia="Arial" w:hAnsi="Arial"/>
          <w:sz w:val="20"/>
          <w:szCs w:val="20"/>
        </w:rPr>
        <w:t xml:space="preserve">WHO Child Growth Standards &amp; Fever Guidelines</w:t>
      </w:r>
    </w:p>
    <w:p>
      <w:pPr>
        <w:pStyle w:val="ListParagraph"/>
        <w:numPr>
          <w:ilvl w:val="0"/>
          <w:numId w:val="2"/>
        </w:numPr>
        <w:spacing w:before="40" w:after="40"/>
      </w:pPr>
      <w:r>
        <w:rPr>
          <w:rFonts w:ascii="Arial" w:cs="Arial" w:eastAsia="Arial" w:hAnsi="Arial"/>
          <w:sz w:val="20"/>
          <w:szCs w:val="20"/>
        </w:rPr>
        <w:t xml:space="preserve">Royal College of Physicians — NEWS2 2017</w:t>
      </w:r>
    </w:p>
    <w:p>
      <w:pPr>
        <w:pStyle w:val="ListParagraph"/>
        <w:numPr>
          <w:ilvl w:val="0"/>
          <w:numId w:val="2"/>
        </w:numPr>
        <w:spacing w:before="40" w:after="40"/>
      </w:pPr>
      <w:r>
        <w:rPr>
          <w:rFonts w:ascii="Arial" w:cs="Arial" w:eastAsia="Arial" w:hAnsi="Arial"/>
          <w:sz w:val="20"/>
          <w:szCs w:val="20"/>
        </w:rPr>
        <w:t xml:space="preserve">GOLD Guidelines 2023 (COPD)</w:t>
      </w:r>
    </w:p>
    <w:p>
      <w:pPr>
        <w:pStyle w:val="ListParagraph"/>
        <w:numPr>
          <w:ilvl w:val="0"/>
          <w:numId w:val="2"/>
        </w:numPr>
        <w:spacing w:before="40" w:after="40"/>
      </w:pPr>
      <w:r>
        <w:rPr>
          <w:rFonts w:ascii="Arial" w:cs="Arial" w:eastAsia="Arial" w:hAnsi="Arial"/>
          <w:sz w:val="20"/>
          <w:szCs w:val="20"/>
        </w:rPr>
        <w:t xml:space="preserve">GINA Guidelines 2023 (Asthma)</w:t>
      </w:r>
    </w:p>
    <w:p>
      <w:pPr>
        <w:pStyle w:val="ListParagraph"/>
        <w:numPr>
          <w:ilvl w:val="0"/>
          <w:numId w:val="2"/>
        </w:numPr>
        <w:spacing w:before="40" w:after="40"/>
      </w:pPr>
      <w:r>
        <w:rPr>
          <w:rFonts w:ascii="Arial" w:cs="Arial" w:eastAsia="Arial" w:hAnsi="Arial"/>
          <w:sz w:val="20"/>
          <w:szCs w:val="20"/>
        </w:rPr>
        <w:t xml:space="preserve">Surviving Sepsis Campaign 2021</w:t>
      </w:r>
    </w:p>
    <w:p>
      <w:pPr>
        <w:pStyle w:val="ListParagraph"/>
        <w:numPr>
          <w:ilvl w:val="0"/>
          <w:numId w:val="2"/>
        </w:numPr>
        <w:spacing w:before="40" w:after="40"/>
      </w:pPr>
      <w:r>
        <w:rPr>
          <w:rFonts w:ascii="Arial" w:cs="Arial" w:eastAsia="Arial" w:hAnsi="Arial"/>
          <w:sz w:val="20"/>
          <w:szCs w:val="20"/>
        </w:rPr>
        <w:t xml:space="preserve">ADA Standards of Medical Care 2023 (Diabetes)</w:t>
      </w:r>
    </w:p>
    <w:p>
      <w:pPr>
        <w:pStyle w:val="ListParagraph"/>
        <w:numPr>
          <w:ilvl w:val="0"/>
          <w:numId w:val="2"/>
        </w:numPr>
        <w:spacing w:before="40" w:after="40"/>
      </w:pPr>
      <w:r>
        <w:rPr>
          <w:rFonts w:ascii="Arial" w:cs="Arial" w:eastAsia="Arial" w:hAnsi="Arial"/>
          <w:sz w:val="20"/>
          <w:szCs w:val="20"/>
        </w:rPr>
        <w:t xml:space="preserve">APLS / PALS Paediatric Life Support 2021</w:t>
      </w:r>
    </w:p>
    <w:p>
      <w:pPr>
        <w:pStyle w:val="ListParagraph"/>
        <w:numPr>
          <w:ilvl w:val="0"/>
          <w:numId w:val="2"/>
        </w:numPr>
        <w:spacing w:before="40" w:after="40"/>
      </w:pPr>
      <w:r>
        <w:rPr>
          <w:rFonts w:ascii="Arial" w:cs="Arial" w:eastAsia="Arial" w:hAnsi="Arial"/>
          <w:sz w:val="20"/>
          <w:szCs w:val="20"/>
        </w:rPr>
        <w:t xml:space="preserve">British Geriatrics Society 2022</w:t>
      </w:r>
    </w:p>
    <w:p>
      <w:pPr>
        <w:pStyle w:val="ListParagraph"/>
        <w:numPr>
          <w:ilvl w:val="0"/>
          <w:numId w:val="2"/>
        </w:numPr>
        <w:spacing w:before="40" w:after="40"/>
      </w:pPr>
      <w:r>
        <w:rPr>
          <w:rFonts w:ascii="Arial" w:cs="Arial" w:eastAsia="Arial" w:hAnsi="Arial"/>
          <w:sz w:val="20"/>
          <w:szCs w:val="20"/>
        </w:rPr>
        <w:t xml:space="preserve">ESC Heart Failure Guidelines 2021</w:t>
      </w:r>
    </w:p>
    <w:p>
      <w:pPr>
        <w:pStyle w:val="ListParagraph"/>
        <w:numPr>
          <w:ilvl w:val="0"/>
          <w:numId w:val="2"/>
        </w:numPr>
        <w:spacing w:before="40" w:after="40"/>
      </w:pPr>
      <w:r>
        <w:rPr>
          <w:rFonts w:ascii="Arial" w:cs="Arial" w:eastAsia="Arial" w:hAnsi="Arial"/>
          <w:sz w:val="20"/>
          <w:szCs w:val="20"/>
        </w:rPr>
        <w:t xml:space="preserve">BTS Pneumonia Guidelines 2023</w:t>
      </w:r>
    </w:p>
    <w:p>
      <w:pPr>
        <w:pStyle w:val="ListParagraph"/>
        <w:numPr>
          <w:ilvl w:val="0"/>
          <w:numId w:val="2"/>
        </w:numPr>
        <w:spacing w:before="40" w:after="40"/>
      </w:pPr>
      <w:r>
        <w:rPr>
          <w:rFonts w:ascii="Arial" w:cs="Arial" w:eastAsia="Arial" w:hAnsi="Arial"/>
          <w:sz w:val="20"/>
          <w:szCs w:val="20"/>
        </w:rPr>
        <w:t xml:space="preserve">ICMR Population Health Standards (India)</w:t>
      </w:r>
    </w:p>
    <w:p>
      <w:r>
        <w:br w:type="page"/>
      </w:r>
    </w:p>
    <w:p>
      <w:pPr>
        <w:pStyle w:val="Heading1"/>
        <w:spacing w:before="360" w:after="120"/>
      </w:pPr>
      <w:r>
        <w:rPr>
          <w:rFonts w:ascii="Arial" w:cs="Arial" w:eastAsia="Arial" w:hAnsi="Arial"/>
          <w:b/>
          <w:bCs/>
          <w:color w:val="1F4E79"/>
          <w:sz w:val="36"/>
          <w:szCs w:val="36"/>
        </w:rPr>
        <w:t xml:space="preserve">SECTION 1: AGE-STRATIFIED NORMAL VITAL SIGN RANGES</w:t>
      </w:r>
    </w:p>
    <w:p>
      <w:pPr>
        <w:spacing w:before="60" w:after="60"/>
      </w:pPr>
      <w:r>
        <w:rPr>
          <w:rFonts w:ascii="Arial" w:cs="Arial" w:eastAsia="Arial" w:hAnsi="Arial"/>
          <w:b w:val="false"/>
          <w:bCs w:val="false"/>
          <w:color w:val="000000"/>
          <w:sz w:val="20"/>
          <w:szCs w:val="20"/>
        </w:rPr>
        <w:t xml:space="preserve">All thresholds below represent clinically validated normal ranges. Values outside these ranges trigger scoring algorithms in Section 3. Age group boundaries follow AAP, AHA, and WHO paediatric and adult classification standards.</w:t>
      </w:r>
    </w:p>
    <w:p>
      <w:pPr>
        <w:spacing w:before="40" w:after="100"/>
      </w:pPr>
      <w:r>
        <w:rPr>
          <w:rFonts w:ascii="Arial" w:cs="Arial" w:eastAsia="Arial" w:hAnsi="Arial"/>
          <w:color w:val="595959"/>
          <w:sz w:val="16"/>
          <w:szCs w:val="16"/>
        </w:rPr>
        <w:t xml:space="preserve">Source: AHA 2023 · WHO Child Growth Standards · AAP PALS 2021 · British Geriatrics Society 2022</w:t>
      </w:r>
    </w:p>
    <w:p>
      <w:pPr>
        <w:pStyle w:val="Heading2"/>
        <w:spacing w:before="280" w:after="80"/>
      </w:pPr>
      <w:r>
        <w:rPr>
          <w:rFonts w:ascii="Arial" w:cs="Arial" w:eastAsia="Arial" w:hAnsi="Arial"/>
          <w:b/>
          <w:bCs/>
          <w:color w:val="2E75B6"/>
          <w:sz w:val="28"/>
          <w:szCs w:val="28"/>
        </w:rPr>
        <w:t xml:space="preserve">1.1 Heart Rate Normal Ranges (BPM)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600"/>
        <w:gridCol w:w="1800"/>
        <w:gridCol w:w="1360"/>
      </w:tblGrid>
      <w:tr>
        <w:tc>
          <w:tcPr>
            <w:tcW w:type="dxa" w:w="18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Age Group</w:t>
            </w:r>
          </w:p>
        </w:tc>
        <w:tc>
          <w:tcPr>
            <w:tcW w:type="dxa" w:w="14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Age Range</w:t>
            </w:r>
          </w:p>
        </w:tc>
        <w:tc>
          <w:tcPr>
            <w:tcW w:type="dxa" w:w="14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HR Min (BPM)</w:t>
            </w:r>
          </w:p>
        </w:tc>
        <w:tc>
          <w:tcPr>
            <w:tcW w:type="dxa" w:w="16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HR Max (BPM)</w:t>
            </w:r>
          </w:p>
        </w:tc>
        <w:tc>
          <w:tcPr>
            <w:tcW w:type="dxa" w:w="18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Bradycardia (&lt;)</w:t>
            </w:r>
          </w:p>
        </w:tc>
        <w:tc>
          <w:tcPr>
            <w:tcW w:type="dxa" w:w="136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Tachycardia (&gt;)</w:t>
            </w:r>
          </w:p>
        </w:tc>
      </w:tr>
      <w:tr>
        <w:tc>
          <w:tcPr>
            <w:tcW w:type="dxa" w:w="18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Infant</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0–12 months</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100</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160</w:t>
            </w:r>
          </w:p>
        </w:tc>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100</w:t>
            </w:r>
          </w:p>
        </w:tc>
        <w:tc>
          <w:tcPr>
            <w:tcW w:type="dxa" w:w="1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160</w:t>
            </w:r>
          </w:p>
        </w:tc>
      </w:tr>
      <w:tr>
        <w:tc>
          <w:tcPr>
            <w:tcW w:type="dxa" w:w="18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1F4E79"/>
                <w:sz w:val="18"/>
                <w:szCs w:val="18"/>
              </w:rPr>
              <w:t xml:space="preserve">Toddler</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1–3 years</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90</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150</w:t>
            </w:r>
          </w:p>
        </w:tc>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90</w:t>
            </w:r>
          </w:p>
        </w:tc>
        <w:tc>
          <w:tcPr>
            <w:tcW w:type="dxa" w:w="1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150</w:t>
            </w:r>
          </w:p>
        </w:tc>
      </w:tr>
      <w:tr>
        <w:tc>
          <w:tcPr>
            <w:tcW w:type="dxa" w:w="18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Preschool</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3–5 years</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80</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140</w:t>
            </w:r>
          </w:p>
        </w:tc>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80</w:t>
            </w:r>
          </w:p>
        </w:tc>
        <w:tc>
          <w:tcPr>
            <w:tcW w:type="dxa" w:w="1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140</w:t>
            </w:r>
          </w:p>
        </w:tc>
      </w:tr>
      <w:tr>
        <w:tc>
          <w:tcPr>
            <w:tcW w:type="dxa" w:w="18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1F4E79"/>
                <w:sz w:val="18"/>
                <w:szCs w:val="18"/>
              </w:rPr>
              <w:t xml:space="preserve">School Age</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6–12 years</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70</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120</w:t>
            </w:r>
          </w:p>
        </w:tc>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70</w:t>
            </w:r>
          </w:p>
        </w:tc>
        <w:tc>
          <w:tcPr>
            <w:tcW w:type="dxa" w:w="1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120</w:t>
            </w:r>
          </w:p>
        </w:tc>
      </w:tr>
      <w:tr>
        <w:tc>
          <w:tcPr>
            <w:tcW w:type="dxa" w:w="18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Adolescent</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13–17 years</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60</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100</w:t>
            </w:r>
          </w:p>
        </w:tc>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60</w:t>
            </w:r>
          </w:p>
        </w:tc>
        <w:tc>
          <w:tcPr>
            <w:tcW w:type="dxa" w:w="1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100</w:t>
            </w:r>
          </w:p>
        </w:tc>
      </w:tr>
      <w:tr>
        <w:tc>
          <w:tcPr>
            <w:tcW w:type="dxa" w:w="18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1F4E79"/>
                <w:sz w:val="18"/>
                <w:szCs w:val="18"/>
              </w:rPr>
              <w:t xml:space="preserve">Young Adult</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18–35 years</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60</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100</w:t>
            </w:r>
          </w:p>
        </w:tc>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60</w:t>
            </w:r>
          </w:p>
        </w:tc>
        <w:tc>
          <w:tcPr>
            <w:tcW w:type="dxa" w:w="1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100</w:t>
            </w:r>
          </w:p>
        </w:tc>
      </w:tr>
      <w:tr>
        <w:tc>
          <w:tcPr>
            <w:tcW w:type="dxa" w:w="18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Middle Aged</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36–59 years</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60</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100</w:t>
            </w:r>
          </w:p>
        </w:tc>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60</w:t>
            </w:r>
          </w:p>
        </w:tc>
        <w:tc>
          <w:tcPr>
            <w:tcW w:type="dxa" w:w="1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100</w:t>
            </w:r>
          </w:p>
        </w:tc>
      </w:tr>
      <w:tr>
        <w:tc>
          <w:tcPr>
            <w:tcW w:type="dxa" w:w="18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1F4E79"/>
                <w:sz w:val="18"/>
                <w:szCs w:val="18"/>
              </w:rPr>
              <w:t xml:space="preserve">Senior</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60–79 years</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55</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95</w:t>
            </w:r>
          </w:p>
        </w:tc>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55</w:t>
            </w:r>
          </w:p>
        </w:tc>
        <w:tc>
          <w:tcPr>
            <w:tcW w:type="dxa" w:w="1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95</w:t>
            </w:r>
          </w:p>
        </w:tc>
      </w:tr>
      <w:tr>
        <w:tc>
          <w:tcPr>
            <w:tcW w:type="dxa" w:w="18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Elderly</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80+ years</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50</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90</w:t>
            </w:r>
          </w:p>
        </w:tc>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50</w:t>
            </w:r>
          </w:p>
        </w:tc>
        <w:tc>
          <w:tcPr>
            <w:tcW w:type="dxa" w:w="1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90</w:t>
            </w:r>
          </w:p>
        </w:tc>
      </w:tr>
    </w:tbl>
    <w:p>
      <w:pPr>
        <w:spacing w:before="60" w:after="60"/>
      </w:pPr>
      <w:r>
        <w:rPr>
          <w:rFonts w:ascii="Arial" w:cs="Arial" w:eastAsia="Arial" w:hAnsi="Arial"/>
          <w:b w:val="false"/>
          <w:bCs w:val="false"/>
          <w:color w:val="000000"/>
          <w:sz w:val="20"/>
          <w:szCs w:val="20"/>
        </w:rPr>
        <w:t xml:space="preserve"/>
      </w:r>
    </w:p>
    <w:p>
      <w:pPr>
        <w:pStyle w:val="Heading2"/>
        <w:spacing w:before="280" w:after="80"/>
      </w:pPr>
      <w:r>
        <w:rPr>
          <w:rFonts w:ascii="Arial" w:cs="Arial" w:eastAsia="Arial" w:hAnsi="Arial"/>
          <w:b/>
          <w:bCs/>
          <w:color w:val="2E75B6"/>
          <w:sz w:val="28"/>
          <w:szCs w:val="28"/>
        </w:rPr>
        <w:t xml:space="preserve">1.2 SpO₂ Normal Ranges (%)</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600"/>
        <w:gridCol w:w="1800"/>
        <w:gridCol w:w="1160"/>
      </w:tblGrid>
      <w:tr>
        <w:tc>
          <w:tcPr>
            <w:tcW w:type="dxa" w:w="18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Age Group</w:t>
            </w:r>
          </w:p>
        </w:tc>
        <w:tc>
          <w:tcPr>
            <w:tcW w:type="dxa" w:w="14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Age Range</w:t>
            </w:r>
          </w:p>
        </w:tc>
        <w:tc>
          <w:tcPr>
            <w:tcW w:type="dxa" w:w="14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SpO₂ Min (%)</w:t>
            </w:r>
          </w:p>
        </w:tc>
        <w:tc>
          <w:tcPr>
            <w:tcW w:type="dxa" w:w="16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SpO₂ Max (%)</w:t>
            </w:r>
          </w:p>
        </w:tc>
        <w:tc>
          <w:tcPr>
            <w:tcW w:type="dxa" w:w="18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Hypoxia (&lt;)</w:t>
            </w:r>
          </w:p>
        </w:tc>
        <w:tc>
          <w:tcPr>
            <w:tcW w:type="dxa" w:w="116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Critical (&lt;)</w:t>
            </w:r>
          </w:p>
        </w:tc>
      </w:tr>
      <w:tr>
        <w:tc>
          <w:tcPr>
            <w:tcW w:type="dxa" w:w="18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Infant</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0–12 months</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95</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100</w:t>
            </w:r>
          </w:p>
        </w:tc>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BF8F00"/>
                <w:sz w:val="18"/>
                <w:szCs w:val="18"/>
              </w:rPr>
              <w:t xml:space="preserve">92%</w:t>
            </w:r>
          </w:p>
        </w:tc>
        <w:tc>
          <w:tcPr>
            <w:tcW w:type="dxa" w:w="11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88%</w:t>
            </w:r>
          </w:p>
        </w:tc>
      </w:tr>
      <w:tr>
        <w:tc>
          <w:tcPr>
            <w:tcW w:type="dxa" w:w="18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1F4E79"/>
                <w:sz w:val="18"/>
                <w:szCs w:val="18"/>
              </w:rPr>
              <w:t xml:space="preserve">Toddler</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1–3 years</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95</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100</w:t>
            </w:r>
          </w:p>
        </w:tc>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BF8F00"/>
                <w:sz w:val="18"/>
                <w:szCs w:val="18"/>
              </w:rPr>
              <w:t xml:space="preserve">92%</w:t>
            </w:r>
          </w:p>
        </w:tc>
        <w:tc>
          <w:tcPr>
            <w:tcW w:type="dxa" w:w="11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88%</w:t>
            </w:r>
          </w:p>
        </w:tc>
      </w:tr>
      <w:tr>
        <w:tc>
          <w:tcPr>
            <w:tcW w:type="dxa" w:w="18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School Age</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6–12 years</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96</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100</w:t>
            </w:r>
          </w:p>
        </w:tc>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BF8F00"/>
                <w:sz w:val="18"/>
                <w:szCs w:val="18"/>
              </w:rPr>
              <w:t xml:space="preserve">93%</w:t>
            </w:r>
          </w:p>
        </w:tc>
        <w:tc>
          <w:tcPr>
            <w:tcW w:type="dxa" w:w="11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90%</w:t>
            </w:r>
          </w:p>
        </w:tc>
      </w:tr>
      <w:tr>
        <w:tc>
          <w:tcPr>
            <w:tcW w:type="dxa" w:w="18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1F4E79"/>
                <w:sz w:val="18"/>
                <w:szCs w:val="18"/>
              </w:rPr>
              <w:t xml:space="preserve">Adult (all)</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18–59 years</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95</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100</w:t>
            </w:r>
          </w:p>
        </w:tc>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BF8F00"/>
                <w:sz w:val="18"/>
                <w:szCs w:val="18"/>
              </w:rPr>
              <w:t xml:space="preserve">94%</w:t>
            </w:r>
          </w:p>
        </w:tc>
        <w:tc>
          <w:tcPr>
            <w:tcW w:type="dxa" w:w="11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91%</w:t>
            </w:r>
          </w:p>
        </w:tc>
      </w:tr>
      <w:tr>
        <w:tc>
          <w:tcPr>
            <w:tcW w:type="dxa" w:w="18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Senior</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60–79 years</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94</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100</w:t>
            </w:r>
          </w:p>
        </w:tc>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BF8F00"/>
                <w:sz w:val="18"/>
                <w:szCs w:val="18"/>
              </w:rPr>
              <w:t xml:space="preserve">92%</w:t>
            </w:r>
          </w:p>
        </w:tc>
        <w:tc>
          <w:tcPr>
            <w:tcW w:type="dxa" w:w="11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90%</w:t>
            </w:r>
          </w:p>
        </w:tc>
      </w:tr>
      <w:tr>
        <w:tc>
          <w:tcPr>
            <w:tcW w:type="dxa" w:w="18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1F4E79"/>
                <w:sz w:val="18"/>
                <w:szCs w:val="18"/>
              </w:rPr>
              <w:t xml:space="preserve">Elderly</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80+ years</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93</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100</w:t>
            </w:r>
          </w:p>
        </w:tc>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BF8F00"/>
                <w:sz w:val="18"/>
                <w:szCs w:val="18"/>
              </w:rPr>
              <w:t xml:space="preserve">91%</w:t>
            </w:r>
          </w:p>
        </w:tc>
        <w:tc>
          <w:tcPr>
            <w:tcW w:type="dxa" w:w="11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88%</w:t>
            </w:r>
          </w:p>
        </w:tc>
      </w:tr>
    </w:tbl>
    <w:p>
      <w:pPr>
        <w:spacing w:before="60" w:after="60"/>
      </w:pPr>
      <w:r>
        <w:rPr>
          <w:rFonts w:ascii="Arial" w:cs="Arial" w:eastAsia="Arial" w:hAnsi="Arial"/>
          <w:b w:val="false"/>
          <w:bCs w:val="false"/>
          <w:color w:val="000000"/>
          <w:sz w:val="20"/>
          <w:szCs w:val="20"/>
        </w:rPr>
        <w:t xml:space="preserve"/>
      </w:r>
    </w:p>
    <w:p>
      <w:pPr>
        <w:pStyle w:val="Heading2"/>
        <w:spacing w:before="280" w:after="80"/>
      </w:pPr>
      <w:r>
        <w:rPr>
          <w:rFonts w:ascii="Arial" w:cs="Arial" w:eastAsia="Arial" w:hAnsi="Arial"/>
          <w:b/>
          <w:bCs/>
          <w:color w:val="2E75B6"/>
          <w:sz w:val="28"/>
          <w:szCs w:val="28"/>
        </w:rPr>
        <w:t xml:space="preserve">1.3 Body Temperature Normal Ranges (°C)</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500"/>
        <w:gridCol w:w="1500"/>
        <w:gridCol w:w="1700"/>
        <w:gridCol w:w="1260"/>
      </w:tblGrid>
      <w:tr>
        <w:tc>
          <w:tcPr>
            <w:tcW w:type="dxa" w:w="18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Age Group</w:t>
            </w:r>
          </w:p>
        </w:tc>
        <w:tc>
          <w:tcPr>
            <w:tcW w:type="dxa" w:w="14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Age Range</w:t>
            </w:r>
          </w:p>
        </w:tc>
        <w:tc>
          <w:tcPr>
            <w:tcW w:type="dxa" w:w="15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Temp Min (°C)</w:t>
            </w:r>
          </w:p>
        </w:tc>
        <w:tc>
          <w:tcPr>
            <w:tcW w:type="dxa" w:w="15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Temp Max (°C)</w:t>
            </w:r>
          </w:p>
        </w:tc>
        <w:tc>
          <w:tcPr>
            <w:tcW w:type="dxa" w:w="17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Fever Threshold</w:t>
            </w:r>
          </w:p>
        </w:tc>
        <w:tc>
          <w:tcPr>
            <w:tcW w:type="dxa" w:w="126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Hypothermia (&lt;)</w:t>
            </w:r>
          </w:p>
        </w:tc>
      </w:tr>
      <w:tr>
        <w:tc>
          <w:tcPr>
            <w:tcW w:type="dxa" w:w="18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Infant</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0–12 months</w:t>
            </w:r>
          </w:p>
        </w:tc>
        <w:tc>
          <w:tcPr>
            <w:tcW w:type="dxa" w:w="15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36.5</w:t>
            </w:r>
          </w:p>
        </w:tc>
        <w:tc>
          <w:tcPr>
            <w:tcW w:type="dxa" w:w="15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37.5</w:t>
            </w:r>
          </w:p>
        </w:tc>
        <w:tc>
          <w:tcPr>
            <w:tcW w:type="dxa" w:w="17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&gt;38.0°C</w:t>
            </w:r>
          </w:p>
        </w:tc>
        <w:tc>
          <w:tcPr>
            <w:tcW w:type="dxa" w:w="12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2E75B6"/>
                <w:sz w:val="18"/>
                <w:szCs w:val="18"/>
              </w:rPr>
              <w:t xml:space="preserve">&lt;36.0°C</w:t>
            </w:r>
          </w:p>
        </w:tc>
      </w:tr>
      <w:tr>
        <w:tc>
          <w:tcPr>
            <w:tcW w:type="dxa" w:w="18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1F4E79"/>
                <w:sz w:val="18"/>
                <w:szCs w:val="18"/>
              </w:rPr>
              <w:t xml:space="preserve">Child</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1–12 years</w:t>
            </w:r>
          </w:p>
        </w:tc>
        <w:tc>
          <w:tcPr>
            <w:tcW w:type="dxa" w:w="15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36.5</w:t>
            </w:r>
          </w:p>
        </w:tc>
        <w:tc>
          <w:tcPr>
            <w:tcW w:type="dxa" w:w="15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37.5</w:t>
            </w:r>
          </w:p>
        </w:tc>
        <w:tc>
          <w:tcPr>
            <w:tcW w:type="dxa" w:w="17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&gt;38.0°C</w:t>
            </w:r>
          </w:p>
        </w:tc>
        <w:tc>
          <w:tcPr>
            <w:tcW w:type="dxa" w:w="12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2E75B6"/>
                <w:sz w:val="18"/>
                <w:szCs w:val="18"/>
              </w:rPr>
              <w:t xml:space="preserve">&lt;36.0°C</w:t>
            </w:r>
          </w:p>
        </w:tc>
      </w:tr>
      <w:tr>
        <w:tc>
          <w:tcPr>
            <w:tcW w:type="dxa" w:w="18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Adolescent</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13–17 years</w:t>
            </w:r>
          </w:p>
        </w:tc>
        <w:tc>
          <w:tcPr>
            <w:tcW w:type="dxa" w:w="15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36.1</w:t>
            </w:r>
          </w:p>
        </w:tc>
        <w:tc>
          <w:tcPr>
            <w:tcW w:type="dxa" w:w="15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37.2</w:t>
            </w:r>
          </w:p>
        </w:tc>
        <w:tc>
          <w:tcPr>
            <w:tcW w:type="dxa" w:w="17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&gt;38.0°C</w:t>
            </w:r>
          </w:p>
        </w:tc>
        <w:tc>
          <w:tcPr>
            <w:tcW w:type="dxa" w:w="12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2E75B6"/>
                <w:sz w:val="18"/>
                <w:szCs w:val="18"/>
              </w:rPr>
              <w:t xml:space="preserve">&lt;35.5°C</w:t>
            </w:r>
          </w:p>
        </w:tc>
      </w:tr>
      <w:tr>
        <w:tc>
          <w:tcPr>
            <w:tcW w:type="dxa" w:w="18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1F4E79"/>
                <w:sz w:val="18"/>
                <w:szCs w:val="18"/>
              </w:rPr>
              <w:t xml:space="preserve">Adult</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18–59 years</w:t>
            </w:r>
          </w:p>
        </w:tc>
        <w:tc>
          <w:tcPr>
            <w:tcW w:type="dxa" w:w="15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36.1</w:t>
            </w:r>
          </w:p>
        </w:tc>
        <w:tc>
          <w:tcPr>
            <w:tcW w:type="dxa" w:w="15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37.2</w:t>
            </w:r>
          </w:p>
        </w:tc>
        <w:tc>
          <w:tcPr>
            <w:tcW w:type="dxa" w:w="17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&gt;38.0°C</w:t>
            </w:r>
          </w:p>
        </w:tc>
        <w:tc>
          <w:tcPr>
            <w:tcW w:type="dxa" w:w="12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2E75B6"/>
                <w:sz w:val="18"/>
                <w:szCs w:val="18"/>
              </w:rPr>
              <w:t xml:space="preserve">&lt;35.0°C</w:t>
            </w:r>
          </w:p>
        </w:tc>
      </w:tr>
      <w:tr>
        <w:tc>
          <w:tcPr>
            <w:tcW w:type="dxa" w:w="18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Senior</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60–79 years</w:t>
            </w:r>
          </w:p>
        </w:tc>
        <w:tc>
          <w:tcPr>
            <w:tcW w:type="dxa" w:w="15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35.8</w:t>
            </w:r>
          </w:p>
        </w:tc>
        <w:tc>
          <w:tcPr>
            <w:tcW w:type="dxa" w:w="15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37.0</w:t>
            </w:r>
          </w:p>
        </w:tc>
        <w:tc>
          <w:tcPr>
            <w:tcW w:type="dxa" w:w="17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&gt;37.8°C</w:t>
            </w:r>
          </w:p>
        </w:tc>
        <w:tc>
          <w:tcPr>
            <w:tcW w:type="dxa" w:w="12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2E75B6"/>
                <w:sz w:val="18"/>
                <w:szCs w:val="18"/>
              </w:rPr>
              <w:t xml:space="preserve">&lt;35.0°C</w:t>
            </w:r>
          </w:p>
        </w:tc>
      </w:tr>
      <w:tr>
        <w:tc>
          <w:tcPr>
            <w:tcW w:type="dxa" w:w="18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1F4E79"/>
                <w:sz w:val="18"/>
                <w:szCs w:val="18"/>
              </w:rPr>
              <w:t xml:space="preserve">Elderly</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80+ years</w:t>
            </w:r>
          </w:p>
        </w:tc>
        <w:tc>
          <w:tcPr>
            <w:tcW w:type="dxa" w:w="15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35.5</w:t>
            </w:r>
          </w:p>
        </w:tc>
        <w:tc>
          <w:tcPr>
            <w:tcW w:type="dxa" w:w="15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37.0</w:t>
            </w:r>
          </w:p>
        </w:tc>
        <w:tc>
          <w:tcPr>
            <w:tcW w:type="dxa" w:w="17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&gt;37.5°C</w:t>
            </w:r>
          </w:p>
        </w:tc>
        <w:tc>
          <w:tcPr>
            <w:tcW w:type="dxa" w:w="12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2E75B6"/>
                <w:sz w:val="18"/>
                <w:szCs w:val="18"/>
              </w:rPr>
              <w:t xml:space="preserve">&lt;34.5°C</w:t>
            </w:r>
          </w:p>
        </w:tc>
      </w:tr>
    </w:tbl>
    <w:p>
      <w:pPr>
        <w:spacing w:before="40" w:after="100"/>
      </w:pPr>
      <w:r>
        <w:rPr>
          <w:rFonts w:ascii="Arial" w:cs="Arial" w:eastAsia="Arial" w:hAnsi="Arial"/>
          <w:color w:val="595959"/>
          <w:sz w:val="16"/>
          <w:szCs w:val="16"/>
        </w:rPr>
        <w:t xml:space="preserve">Source: WHO Fever Definition · NICE CG160 · AHA 2023 · BGS 2022</w:t>
      </w:r>
    </w:p>
    <w:p>
      <w:r>
        <w:br w:type="page"/>
      </w:r>
    </w:p>
    <w:p>
      <w:pPr>
        <w:pStyle w:val="Heading1"/>
        <w:spacing w:before="360" w:after="120"/>
      </w:pPr>
      <w:r>
        <w:rPr>
          <w:rFonts w:ascii="Arial" w:cs="Arial" w:eastAsia="Arial" w:hAnsi="Arial"/>
          <w:b/>
          <w:bCs/>
          <w:color w:val="1F4E79"/>
          <w:sz w:val="36"/>
          <w:szCs w:val="36"/>
        </w:rPr>
        <w:t xml:space="preserve">SECTION 2: COMORBIDITY ADJUSTMENTS TO NORMAL RANGES</w:t>
      </w:r>
    </w:p>
    <w:p>
      <w:pPr>
        <w:spacing w:before="60" w:after="60"/>
      </w:pPr>
      <w:r>
        <w:rPr>
          <w:rFonts w:ascii="Arial" w:cs="Arial" w:eastAsia="Arial" w:hAnsi="Arial"/>
          <w:b w:val="false"/>
          <w:bCs w:val="false"/>
          <w:color w:val="000000"/>
          <w:sz w:val="20"/>
          <w:szCs w:val="20"/>
        </w:rPr>
        <w:t xml:space="preserve">The following offsets must be applied to Section 1 ranges when a patient has the listed comorbidity. These adjustments prevent false positive alerts in patients with known chronic conditions. IMPORTANT: For COPD patients, use NEWS2 Scale 2 for SpO₂ scoring (see Section 3).</w:t>
      </w:r>
    </w:p>
    <w:p>
      <w:pPr>
        <w:spacing w:before="40" w:after="100"/>
      </w:pPr>
      <w:r>
        <w:rPr>
          <w:rFonts w:ascii="Arial" w:cs="Arial" w:eastAsia="Arial" w:hAnsi="Arial"/>
          <w:color w:val="595959"/>
          <w:sz w:val="16"/>
          <w:szCs w:val="16"/>
        </w:rPr>
        <w:t xml:space="preserve">Source: GOLD 2023 · GINA 2023 · ADA Standards of Care 2023 · AHA/ACC 2022 · ESC 2021 · KDIGO CKD Guidelines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1760"/>
        <w:gridCol w:w="1760"/>
        <w:gridCol w:w="1760"/>
        <w:gridCol w:w="2280"/>
      </w:tblGrid>
      <w:tr>
        <w:tc>
          <w:tcPr>
            <w:tcW w:type="dxa" w:w="1600"/>
            <w:gridSpan w:val="1"/>
            <w:tcBorders>
              <w:top w:val="single" w:color="BBBBBB" w:sz="1"/>
              <w:left w:val="single" w:color="BBBBBB" w:sz="1"/>
              <w:bottom w:val="single" w:color="BBBBBB" w:sz="1"/>
              <w:right w:val="single" w:color="BBBBBB" w:sz="1"/>
            </w:tcBorders>
            <w:shd w:fill="1E462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Comorbidity</w:t>
            </w:r>
          </w:p>
        </w:tc>
        <w:tc>
          <w:tcPr>
            <w:tcW w:type="dxa" w:w="1760"/>
            <w:gridSpan w:val="1"/>
            <w:tcBorders>
              <w:top w:val="single" w:color="BBBBBB" w:sz="1"/>
              <w:left w:val="single" w:color="BBBBBB" w:sz="1"/>
              <w:bottom w:val="single" w:color="BBBBBB" w:sz="1"/>
              <w:right w:val="single" w:color="BBBBBB" w:sz="1"/>
            </w:tcBorders>
            <w:shd w:fill="1E462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HR Adjustment</w:t>
            </w:r>
          </w:p>
        </w:tc>
        <w:tc>
          <w:tcPr>
            <w:tcW w:type="dxa" w:w="1760"/>
            <w:gridSpan w:val="1"/>
            <w:tcBorders>
              <w:top w:val="single" w:color="BBBBBB" w:sz="1"/>
              <w:left w:val="single" w:color="BBBBBB" w:sz="1"/>
              <w:bottom w:val="single" w:color="BBBBBB" w:sz="1"/>
              <w:right w:val="single" w:color="BBBBBB" w:sz="1"/>
            </w:tcBorders>
            <w:shd w:fill="1E462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SpO₂ Adjustment</w:t>
            </w:r>
          </w:p>
        </w:tc>
        <w:tc>
          <w:tcPr>
            <w:tcW w:type="dxa" w:w="1760"/>
            <w:gridSpan w:val="1"/>
            <w:tcBorders>
              <w:top w:val="single" w:color="BBBBBB" w:sz="1"/>
              <w:left w:val="single" w:color="BBBBBB" w:sz="1"/>
              <w:bottom w:val="single" w:color="BBBBBB" w:sz="1"/>
              <w:right w:val="single" w:color="BBBBBB" w:sz="1"/>
            </w:tcBorders>
            <w:shd w:fill="1E462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Temp Adjustment</w:t>
            </w:r>
          </w:p>
        </w:tc>
        <w:tc>
          <w:tcPr>
            <w:tcW w:type="dxa" w:w="2280"/>
            <w:gridSpan w:val="1"/>
            <w:tcBorders>
              <w:top w:val="single" w:color="BBBBBB" w:sz="1"/>
              <w:left w:val="single" w:color="BBBBBB" w:sz="1"/>
              <w:bottom w:val="single" w:color="BBBBBB" w:sz="1"/>
              <w:right w:val="single" w:color="BBBBBB" w:sz="1"/>
            </w:tcBorders>
            <w:shd w:fill="1E462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Clinical Reason</w:t>
            </w:r>
          </w:p>
        </w:tc>
      </w:tr>
      <w:tr>
        <w:tc>
          <w:tcPr>
            <w:tcW w:type="dxa" w:w="16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bCs/>
                <w:color w:val="1F4E79"/>
                <w:sz w:val="18"/>
                <w:szCs w:val="18"/>
              </w:rPr>
              <w:t xml:space="preserve">COPD</w:t>
            </w:r>
          </w:p>
        </w:tc>
        <w:tc>
          <w:tcPr>
            <w:tcW w:type="dxa" w:w="17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Max +10 BPM</w:t>
            </w:r>
          </w:p>
        </w:tc>
        <w:tc>
          <w:tcPr>
            <w:tcW w:type="dxa" w:w="17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Baseline 88–92% acceptable</w:t>
            </w:r>
          </w:p>
        </w:tc>
        <w:tc>
          <w:tcPr>
            <w:tcW w:type="dxa" w:w="17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Afebrile common</w:t>
            </w:r>
          </w:p>
        </w:tc>
        <w:tc>
          <w:tcPr>
            <w:tcW w:type="dxa" w:w="228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Chronic hypoxic drive; O2 therapy target 88–92%</w:t>
            </w:r>
          </w:p>
        </w:tc>
      </w:tr>
      <w:tr>
        <w:tc>
          <w:tcPr>
            <w:tcW w:type="dxa" w:w="16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1F4E79"/>
                <w:sz w:val="18"/>
                <w:szCs w:val="18"/>
              </w:rPr>
              <w:t xml:space="preserve">Heart Disease</w:t>
            </w:r>
          </w:p>
        </w:tc>
        <w:tc>
          <w:tcPr>
            <w:tcW w:type="dxa" w:w="17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Max −10 BPM</w:t>
            </w:r>
          </w:p>
        </w:tc>
        <w:tc>
          <w:tcPr>
            <w:tcW w:type="dxa" w:w="17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Min −1%</w:t>
            </w:r>
          </w:p>
        </w:tc>
        <w:tc>
          <w:tcPr>
            <w:tcW w:type="dxa" w:w="17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No change</w:t>
            </w:r>
          </w:p>
        </w:tc>
        <w:tc>
          <w:tcPr>
            <w:tcW w:type="dxa" w:w="228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Reduced cardiac reserve; lower HR tolerance</w:t>
            </w:r>
          </w:p>
        </w:tc>
      </w:tr>
      <w:tr>
        <w:tc>
          <w:tcPr>
            <w:tcW w:type="dxa" w:w="16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bCs/>
                <w:color w:val="1F4E79"/>
                <w:sz w:val="18"/>
                <w:szCs w:val="18"/>
              </w:rPr>
              <w:t xml:space="preserve">Diabetes</w:t>
            </w:r>
          </w:p>
        </w:tc>
        <w:tc>
          <w:tcPr>
            <w:tcW w:type="dxa" w:w="17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No change</w:t>
            </w:r>
          </w:p>
        </w:tc>
        <w:tc>
          <w:tcPr>
            <w:tcW w:type="dxa" w:w="17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No change</w:t>
            </w:r>
          </w:p>
        </w:tc>
        <w:tc>
          <w:tcPr>
            <w:tcW w:type="dxa" w:w="17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Fever threshold −0.3°C</w:t>
            </w:r>
          </w:p>
        </w:tc>
        <w:tc>
          <w:tcPr>
            <w:tcW w:type="dxa" w:w="228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Autonomic neuropathy masks fever &amp; tachycardia response</w:t>
            </w:r>
          </w:p>
        </w:tc>
      </w:tr>
      <w:tr>
        <w:tc>
          <w:tcPr>
            <w:tcW w:type="dxa" w:w="16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1F4E79"/>
                <w:sz w:val="18"/>
                <w:szCs w:val="18"/>
              </w:rPr>
              <w:t xml:space="preserve">Hypertension</w:t>
            </w:r>
          </w:p>
        </w:tc>
        <w:tc>
          <w:tcPr>
            <w:tcW w:type="dxa" w:w="17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Max −5 BPM</w:t>
            </w:r>
          </w:p>
        </w:tc>
        <w:tc>
          <w:tcPr>
            <w:tcW w:type="dxa" w:w="17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No change</w:t>
            </w:r>
          </w:p>
        </w:tc>
        <w:tc>
          <w:tcPr>
            <w:tcW w:type="dxa" w:w="17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No change</w:t>
            </w:r>
          </w:p>
        </w:tc>
        <w:tc>
          <w:tcPr>
            <w:tcW w:type="dxa" w:w="228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Often on beta-blockers suppressing HR response</w:t>
            </w:r>
          </w:p>
        </w:tc>
      </w:tr>
      <w:tr>
        <w:tc>
          <w:tcPr>
            <w:tcW w:type="dxa" w:w="16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bCs/>
                <w:color w:val="1F4E79"/>
                <w:sz w:val="18"/>
                <w:szCs w:val="18"/>
              </w:rPr>
              <w:t xml:space="preserve">Asthma</w:t>
            </w:r>
          </w:p>
        </w:tc>
        <w:tc>
          <w:tcPr>
            <w:tcW w:type="dxa" w:w="17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Max +10 BPM</w:t>
            </w:r>
          </w:p>
        </w:tc>
        <w:tc>
          <w:tcPr>
            <w:tcW w:type="dxa" w:w="17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Min −2% (92% = moderate; &lt;90% = critical)</w:t>
            </w:r>
          </w:p>
        </w:tc>
        <w:tc>
          <w:tcPr>
            <w:tcW w:type="dxa" w:w="17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Slight ↑ during exacerbation</w:t>
            </w:r>
          </w:p>
        </w:tc>
        <w:tc>
          <w:tcPr>
            <w:tcW w:type="dxa" w:w="228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GINA severity classification based on SpO₂</w:t>
            </w:r>
          </w:p>
        </w:tc>
      </w:tr>
      <w:tr>
        <w:tc>
          <w:tcPr>
            <w:tcW w:type="dxa" w:w="16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1F4E79"/>
                <w:sz w:val="18"/>
                <w:szCs w:val="18"/>
              </w:rPr>
              <w:t xml:space="preserve">CKD</w:t>
            </w:r>
          </w:p>
        </w:tc>
        <w:tc>
          <w:tcPr>
            <w:tcW w:type="dxa" w:w="17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No change</w:t>
            </w:r>
          </w:p>
        </w:tc>
        <w:tc>
          <w:tcPr>
            <w:tcW w:type="dxa" w:w="17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Min −2%</w:t>
            </w:r>
          </w:p>
        </w:tc>
        <w:tc>
          <w:tcPr>
            <w:tcW w:type="dxa" w:w="17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Min −0.2°C</w:t>
            </w:r>
          </w:p>
        </w:tc>
        <w:tc>
          <w:tcPr>
            <w:tcW w:type="dxa" w:w="228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Anaemia and fluid shifts alter SpO₂ baseline</w:t>
            </w:r>
          </w:p>
        </w:tc>
      </w:tr>
      <w:tr>
        <w:tc>
          <w:tcPr>
            <w:tcW w:type="dxa" w:w="16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bCs/>
                <w:color w:val="1F4E79"/>
                <w:sz w:val="18"/>
                <w:szCs w:val="18"/>
              </w:rPr>
              <w:t xml:space="preserve">Obesity</w:t>
            </w:r>
          </w:p>
        </w:tc>
        <w:tc>
          <w:tcPr>
            <w:tcW w:type="dxa" w:w="17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Max +5 BPM</w:t>
            </w:r>
          </w:p>
        </w:tc>
        <w:tc>
          <w:tcPr>
            <w:tcW w:type="dxa" w:w="17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Min −2%</w:t>
            </w:r>
          </w:p>
        </w:tc>
        <w:tc>
          <w:tcPr>
            <w:tcW w:type="dxa" w:w="17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No change</w:t>
            </w:r>
          </w:p>
        </w:tc>
        <w:tc>
          <w:tcPr>
            <w:tcW w:type="dxa" w:w="228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Hypoventilation syndrome reduces baseline SpO₂</w:t>
            </w:r>
          </w:p>
        </w:tc>
      </w:tr>
      <w:tr>
        <w:tc>
          <w:tcPr>
            <w:tcW w:type="dxa" w:w="16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1F4E79"/>
                <w:sz w:val="18"/>
                <w:szCs w:val="18"/>
              </w:rPr>
              <w:t xml:space="preserve">Heart Failure</w:t>
            </w:r>
          </w:p>
        </w:tc>
        <w:tc>
          <w:tcPr>
            <w:tcW w:type="dxa" w:w="17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Max −5 BPM</w:t>
            </w:r>
          </w:p>
        </w:tc>
        <w:tc>
          <w:tcPr>
            <w:tcW w:type="dxa" w:w="17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Baseline 90–95% acceptable</w:t>
            </w:r>
          </w:p>
        </w:tc>
        <w:tc>
          <w:tcPr>
            <w:tcW w:type="dxa" w:w="17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Afebrile unless infective</w:t>
            </w:r>
          </w:p>
        </w:tc>
        <w:tc>
          <w:tcPr>
            <w:tcW w:type="dxa" w:w="228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Compensated HF has chronically low SpO₂; avoid aggressive O2</w:t>
            </w:r>
          </w:p>
        </w:tc>
      </w:tr>
    </w:tbl>
    <w:p>
      <w:pPr>
        <w:spacing w:before="60" w:after="60"/>
      </w:pPr>
      <w:r>
        <w:rPr>
          <w:rFonts w:ascii="Arial" w:cs="Arial" w:eastAsia="Arial" w:hAnsi="Arial"/>
          <w:b w:val="false"/>
          <w:bCs w:val="false"/>
          <w:color w:val="000000"/>
          <w:sz w:val="20"/>
          <w:szCs w:val="20"/>
        </w:rPr>
        <w:t xml:space="preserve"/>
      </w:r>
    </w:p>
    <w:p>
      <w:pPr>
        <w:pStyle w:val="Heading2"/>
        <w:spacing w:before="280" w:after="80"/>
      </w:pPr>
      <w:r>
        <w:rPr>
          <w:rFonts w:ascii="Arial" w:cs="Arial" w:eastAsia="Arial" w:hAnsi="Arial"/>
          <w:b/>
          <w:bCs/>
          <w:color w:val="2E75B6"/>
          <w:sz w:val="28"/>
          <w:szCs w:val="28"/>
        </w:rPr>
        <w:t xml:space="preserve">2.1 Drug Effects on Vital Signs</w:t>
      </w:r>
    </w:p>
    <w:p>
      <w:pPr>
        <w:spacing w:before="60" w:after="60"/>
      </w:pPr>
      <w:r>
        <w:rPr>
          <w:rFonts w:ascii="Arial" w:cs="Arial" w:eastAsia="Arial" w:hAnsi="Arial"/>
          <w:b w:val="false"/>
          <w:bCs w:val="false"/>
          <w:color w:val="000000"/>
          <w:sz w:val="20"/>
          <w:szCs w:val="20"/>
        </w:rPr>
        <w:t xml:space="preserve">These drug effects must be considered when interpreting HR and SpO₂ alerts. If medication data is available, apply the following corrections before scoring:</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3960"/>
      </w:tblGrid>
      <w:tr>
        <w:tc>
          <w:tcPr>
            <w:tcW w:type="dxa" w:w="2000"/>
            <w:gridSpan w:val="1"/>
            <w:tcBorders>
              <w:top w:val="single" w:color="BBBBBB" w:sz="1"/>
              <w:left w:val="single" w:color="BBBBBB" w:sz="1"/>
              <w:bottom w:val="single" w:color="BBBBBB" w:sz="1"/>
              <w:right w:val="single" w:color="BBBBBB" w:sz="1"/>
            </w:tcBorders>
            <w:shd w:fill="3D1C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Drug Class</w:t>
            </w:r>
          </w:p>
        </w:tc>
        <w:tc>
          <w:tcPr>
            <w:tcW w:type="dxa" w:w="1600"/>
            <w:gridSpan w:val="1"/>
            <w:tcBorders>
              <w:top w:val="single" w:color="BBBBBB" w:sz="1"/>
              <w:left w:val="single" w:color="BBBBBB" w:sz="1"/>
              <w:bottom w:val="single" w:color="BBBBBB" w:sz="1"/>
              <w:right w:val="single" w:color="BBBBBB" w:sz="1"/>
            </w:tcBorders>
            <w:shd w:fill="3D1C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Effect on HR</w:t>
            </w:r>
          </w:p>
        </w:tc>
        <w:tc>
          <w:tcPr>
            <w:tcW w:type="dxa" w:w="1600"/>
            <w:gridSpan w:val="1"/>
            <w:tcBorders>
              <w:top w:val="single" w:color="BBBBBB" w:sz="1"/>
              <w:left w:val="single" w:color="BBBBBB" w:sz="1"/>
              <w:bottom w:val="single" w:color="BBBBBB" w:sz="1"/>
              <w:right w:val="single" w:color="BBBBBB" w:sz="1"/>
            </w:tcBorders>
            <w:shd w:fill="3D1C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Effect on SpO₂</w:t>
            </w:r>
          </w:p>
        </w:tc>
        <w:tc>
          <w:tcPr>
            <w:tcW w:type="dxa" w:w="3960"/>
            <w:gridSpan w:val="1"/>
            <w:tcBorders>
              <w:top w:val="single" w:color="BBBBBB" w:sz="1"/>
              <w:left w:val="single" w:color="BBBBBB" w:sz="1"/>
              <w:bottom w:val="single" w:color="BBBBBB" w:sz="1"/>
              <w:right w:val="single" w:color="BBBBBB" w:sz="1"/>
            </w:tcBorders>
            <w:shd w:fill="3D1C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Clinical Note</w:t>
            </w:r>
          </w:p>
        </w:tc>
      </w:tr>
      <w:tr>
        <w:tc>
          <w:tcPr>
            <w:tcW w:type="dxa" w:w="2000"/>
            <w:gridSpan w:val="1"/>
            <w:tcBorders>
              <w:top w:val="single" w:color="BBBBBB" w:sz="1"/>
              <w:left w:val="single" w:color="BBBBBB" w:sz="1"/>
              <w:bottom w:val="single" w:color="BBBBBB" w:sz="1"/>
              <w:right w:val="single" w:color="BBBBBB" w:sz="1"/>
            </w:tcBorders>
            <w:shd w:fill="EAD1FF" w:val="clear"/>
            <w:tcMar>
              <w:top w:type="dxa" w:w="60"/>
              <w:left w:type="dxa" w:w="100"/>
              <w:bottom w:type="dxa" w:w="60"/>
              <w:right w:type="dxa" w:w="100"/>
            </w:tcMar>
          </w:tcPr>
          <w:p>
            <w:pPr>
              <w:jc w:val="left"/>
            </w:pPr>
            <w:r>
              <w:rPr>
                <w:rFonts w:ascii="Arial" w:cs="Arial" w:eastAsia="Arial" w:hAnsi="Arial"/>
                <w:b/>
                <w:bCs/>
                <w:color w:val="1F4E79"/>
                <w:sz w:val="18"/>
                <w:szCs w:val="18"/>
              </w:rPr>
              <w:t xml:space="preserve">Beta-blockers</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 10–20 BPM</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No direct effect</w:t>
            </w:r>
          </w:p>
        </w:tc>
        <w:tc>
          <w:tcPr>
            <w:tcW w:type="dxa" w:w="39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HR alert thresholds must be lowered by 15 BPM in patients on beta-blockers</w:t>
            </w:r>
          </w:p>
        </w:tc>
      </w:tr>
      <w:tr>
        <w:tc>
          <w:tcPr>
            <w:tcW w:type="dxa" w:w="20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1F4E79"/>
                <w:sz w:val="18"/>
                <w:szCs w:val="18"/>
              </w:rPr>
              <w:t xml:space="preserve">Calcium channel blockers</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 5–15 BPM</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No direct effect</w:t>
            </w:r>
          </w:p>
        </w:tc>
        <w:tc>
          <w:tcPr>
            <w:tcW w:type="dxa" w:w="39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Diltiazem/verapamil class reduces HR; amlodipine does not</w:t>
            </w:r>
          </w:p>
        </w:tc>
      </w:tr>
      <w:tr>
        <w:tc>
          <w:tcPr>
            <w:tcW w:type="dxa" w:w="2000"/>
            <w:gridSpan w:val="1"/>
            <w:tcBorders>
              <w:top w:val="single" w:color="BBBBBB" w:sz="1"/>
              <w:left w:val="single" w:color="BBBBBB" w:sz="1"/>
              <w:bottom w:val="single" w:color="BBBBBB" w:sz="1"/>
              <w:right w:val="single" w:color="BBBBBB" w:sz="1"/>
            </w:tcBorders>
            <w:shd w:fill="EAD1FF" w:val="clear"/>
            <w:tcMar>
              <w:top w:type="dxa" w:w="60"/>
              <w:left w:type="dxa" w:w="100"/>
              <w:bottom w:type="dxa" w:w="60"/>
              <w:right w:type="dxa" w:w="100"/>
            </w:tcMar>
          </w:tcPr>
          <w:p>
            <w:pPr>
              <w:jc w:val="left"/>
            </w:pPr>
            <w:r>
              <w:rPr>
                <w:rFonts w:ascii="Arial" w:cs="Arial" w:eastAsia="Arial" w:hAnsi="Arial"/>
                <w:b/>
                <w:bCs/>
                <w:color w:val="1F4E79"/>
                <w:sz w:val="18"/>
                <w:szCs w:val="18"/>
              </w:rPr>
              <w:t xml:space="preserve">Bronchodilators</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 10–20 BPM</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 during treatment</w:t>
            </w:r>
          </w:p>
        </w:tc>
        <w:tc>
          <w:tcPr>
            <w:tcW w:type="dxa" w:w="39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Salbutamol causes tachycardia; do not flag as cardiac event during nebulisation</w:t>
            </w:r>
          </w:p>
        </w:tc>
      </w:tr>
      <w:tr>
        <w:tc>
          <w:tcPr>
            <w:tcW w:type="dxa" w:w="20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1F4E79"/>
                <w:sz w:val="18"/>
                <w:szCs w:val="18"/>
              </w:rPr>
              <w:t xml:space="preserve">Opioids</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 5–10 BPM</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 dose-dependent</w:t>
            </w:r>
          </w:p>
        </w:tc>
        <w:tc>
          <w:tcPr>
            <w:tcW w:type="dxa" w:w="39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Respiratory depression — SpO₂ drop is primary concern, not HR</w:t>
            </w:r>
          </w:p>
        </w:tc>
      </w:tr>
      <w:tr>
        <w:tc>
          <w:tcPr>
            <w:tcW w:type="dxa" w:w="2000"/>
            <w:gridSpan w:val="1"/>
            <w:tcBorders>
              <w:top w:val="single" w:color="BBBBBB" w:sz="1"/>
              <w:left w:val="single" w:color="BBBBBB" w:sz="1"/>
              <w:bottom w:val="single" w:color="BBBBBB" w:sz="1"/>
              <w:right w:val="single" w:color="BBBBBB" w:sz="1"/>
            </w:tcBorders>
            <w:shd w:fill="EAD1FF" w:val="clear"/>
            <w:tcMar>
              <w:top w:type="dxa" w:w="60"/>
              <w:left w:type="dxa" w:w="100"/>
              <w:bottom w:type="dxa" w:w="60"/>
              <w:right w:type="dxa" w:w="100"/>
            </w:tcMar>
          </w:tcPr>
          <w:p>
            <w:pPr>
              <w:jc w:val="left"/>
            </w:pPr>
            <w:r>
              <w:rPr>
                <w:rFonts w:ascii="Arial" w:cs="Arial" w:eastAsia="Arial" w:hAnsi="Arial"/>
                <w:b/>
                <w:bCs/>
                <w:color w:val="1F4E79"/>
                <w:sz w:val="18"/>
                <w:szCs w:val="18"/>
              </w:rPr>
              <w:t xml:space="preserve">Antipyretics</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 5–10 BPM</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 slightly</w:t>
            </w:r>
          </w:p>
        </w:tc>
        <w:tc>
          <w:tcPr>
            <w:tcW w:type="dxa" w:w="39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Paracetamol/ibuprofen reduce fever-driven tachycardia; do not interpret as clinical improvement alone</w:t>
            </w:r>
          </w:p>
        </w:tc>
      </w:tr>
    </w:tbl>
    <w:p>
      <w:pPr>
        <w:spacing w:before="40" w:after="100"/>
      </w:pPr>
      <w:r>
        <w:rPr>
          <w:rFonts w:ascii="Arial" w:cs="Arial" w:eastAsia="Arial" w:hAnsi="Arial"/>
          <w:color w:val="595959"/>
          <w:sz w:val="16"/>
          <w:szCs w:val="16"/>
        </w:rPr>
        <w:t xml:space="preserve">Source: BNF 2023 · AHA Drug Interaction Guidelines · Lexicomp Clinical Pharmacology</w:t>
      </w:r>
    </w:p>
    <w:p>
      <w:r>
        <w:br w:type="page"/>
      </w:r>
    </w:p>
    <w:p>
      <w:pPr>
        <w:pStyle w:val="Heading1"/>
        <w:spacing w:before="360" w:after="120"/>
      </w:pPr>
      <w:r>
        <w:rPr>
          <w:rFonts w:ascii="Arial" w:cs="Arial" w:eastAsia="Arial" w:hAnsi="Arial"/>
          <w:b/>
          <w:bCs/>
          <w:color w:val="1F4E79"/>
          <w:sz w:val="36"/>
          <w:szCs w:val="36"/>
        </w:rPr>
        <w:t xml:space="preserve">SECTION 3: NEWS2 SCORING SYSTEM (3-SENSOR ADAPTED)</w:t>
      </w:r>
    </w:p>
    <w:p>
      <w:pPr>
        <w:spacing w:before="60" w:after="60"/>
      </w:pPr>
      <w:r>
        <w:rPr>
          <w:rFonts w:ascii="Arial" w:cs="Arial" w:eastAsia="Arial" w:hAnsi="Arial"/>
          <w:b w:val="false"/>
          <w:bCs w:val="false"/>
          <w:color w:val="000000"/>
          <w:sz w:val="20"/>
          <w:szCs w:val="20"/>
        </w:rPr>
        <w:t xml:space="preserve">The National Early Warning Score 2 (NEWS2) is the NHS-validated gold standard for detecting patient deterioration. The full NEWS2 uses 7 parameters. This implementation uses 3 available parameters (HR, SpO₂, Temperature) and produces a partial NEWS2 score. All outputs must be labelled "Partial NEWS2 — Respiratory Rate absent."</w:t>
      </w:r>
    </w:p>
    <w:p>
      <w:pPr>
        <w:spacing w:before="40" w:after="100"/>
      </w:pPr>
      <w:r>
        <w:rPr>
          <w:rFonts w:ascii="Arial" w:cs="Arial" w:eastAsia="Arial" w:hAnsi="Arial"/>
          <w:color w:val="595959"/>
          <w:sz w:val="16"/>
          <w:szCs w:val="16"/>
        </w:rPr>
        <w:t xml:space="preserve">Source: Royal College of Physicians. National Early Warning Score (NEWS) 2. RCP London, 2017. ISBN: 978-1-86016-737-0</w:t>
      </w:r>
    </w:p>
    <w:p>
      <w:pPr>
        <w:pStyle w:val="Heading2"/>
        <w:spacing w:before="280" w:after="80"/>
      </w:pPr>
      <w:r>
        <w:rPr>
          <w:rFonts w:ascii="Arial" w:cs="Arial" w:eastAsia="Arial" w:hAnsi="Arial"/>
          <w:b/>
          <w:bCs/>
          <w:color w:val="2E75B6"/>
          <w:sz w:val="28"/>
          <w:szCs w:val="28"/>
        </w:rPr>
        <w:t xml:space="preserve">3.1 Heart Rate Scoring</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200"/>
        <w:gridCol w:w="1200"/>
        <w:gridCol w:w="1200"/>
        <w:gridCol w:w="1200"/>
        <w:gridCol w:w="1560"/>
      </w:tblGrid>
      <w:tr>
        <w:tc>
          <w:tcPr>
            <w:tcW w:type="dxa" w:w="14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Parameter</w:t>
            </w:r>
          </w:p>
        </w:tc>
        <w:tc>
          <w:tcPr>
            <w:tcW w:type="dxa" w:w="1200"/>
            <w:gridSpan w:val="1"/>
            <w:tcBorders>
              <w:top w:val="single" w:color="BBBBBB" w:sz="1"/>
              <w:left w:val="single" w:color="BBBBBB" w:sz="1"/>
              <w:bottom w:val="single" w:color="BBBBBB" w:sz="1"/>
              <w:right w:val="single" w:color="BBBBBB" w:sz="1"/>
            </w:tcBorders>
            <w:shd w:fill="C0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3</w:t>
            </w:r>
          </w:p>
        </w:tc>
        <w:tc>
          <w:tcPr>
            <w:tcW w:type="dxa" w:w="1200"/>
            <w:gridSpan w:val="1"/>
            <w:tcBorders>
              <w:top w:val="single" w:color="BBBBBB" w:sz="1"/>
              <w:left w:val="single" w:color="BBBBBB" w:sz="1"/>
              <w:bottom w:val="single" w:color="BBBBBB" w:sz="1"/>
              <w:right w:val="single" w:color="BBBBBB" w:sz="1"/>
            </w:tcBorders>
            <w:shd w:fill="BF8F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2</w:t>
            </w:r>
          </w:p>
        </w:tc>
        <w:tc>
          <w:tcPr>
            <w:tcW w:type="dxa" w:w="12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1</w:t>
            </w:r>
          </w:p>
        </w:tc>
        <w:tc>
          <w:tcPr>
            <w:tcW w:type="dxa" w:w="12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w:t>
            </w:r>
          </w:p>
        </w:tc>
        <w:tc>
          <w:tcPr>
            <w:tcW w:type="dxa" w:w="12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1</w:t>
            </w:r>
          </w:p>
        </w:tc>
        <w:tc>
          <w:tcPr>
            <w:tcW w:type="dxa" w:w="1200"/>
            <w:gridSpan w:val="1"/>
            <w:tcBorders>
              <w:top w:val="single" w:color="BBBBBB" w:sz="1"/>
              <w:left w:val="single" w:color="BBBBBB" w:sz="1"/>
              <w:bottom w:val="single" w:color="BBBBBB" w:sz="1"/>
              <w:right w:val="single" w:color="BBBBBB" w:sz="1"/>
            </w:tcBorders>
            <w:shd w:fill="BF8F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2</w:t>
            </w:r>
          </w:p>
        </w:tc>
        <w:tc>
          <w:tcPr>
            <w:tcW w:type="dxa" w:w="1560"/>
            <w:gridSpan w:val="1"/>
            <w:tcBorders>
              <w:top w:val="single" w:color="BBBBBB" w:sz="1"/>
              <w:left w:val="single" w:color="BBBBBB" w:sz="1"/>
              <w:bottom w:val="single" w:color="BBBBBB" w:sz="1"/>
              <w:right w:val="single" w:color="BBBBBB" w:sz="1"/>
            </w:tcBorders>
            <w:shd w:fill="C0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3</w:t>
            </w:r>
          </w:p>
        </w:tc>
      </w:tr>
      <w:tr>
        <w:tc>
          <w:tcPr>
            <w:tcW w:type="dxa" w:w="14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Heart Rate (BPM)</w:t>
            </w:r>
          </w:p>
        </w:tc>
        <w:tc>
          <w:tcPr>
            <w:tcW w:type="dxa" w:w="1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≤40</w:t>
            </w:r>
          </w:p>
        </w:tc>
        <w:tc>
          <w:tcPr>
            <w:tcW w:type="dxa" w:w="1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41–50</w:t>
            </w:r>
          </w:p>
        </w:tc>
        <w:tc>
          <w:tcPr>
            <w:tcW w:type="dxa" w:w="1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51–60</w:t>
            </w:r>
          </w:p>
        </w:tc>
        <w:tc>
          <w:tcPr>
            <w:tcW w:type="dxa" w:w="1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375623"/>
                <w:sz w:val="18"/>
                <w:szCs w:val="18"/>
              </w:rPr>
              <w:t xml:space="preserve">61–100</w:t>
            </w:r>
          </w:p>
        </w:tc>
        <w:tc>
          <w:tcPr>
            <w:tcW w:type="dxa" w:w="1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101–110</w:t>
            </w:r>
          </w:p>
        </w:tc>
        <w:tc>
          <w:tcPr>
            <w:tcW w:type="dxa" w:w="1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111–130</w:t>
            </w:r>
          </w:p>
        </w:tc>
        <w:tc>
          <w:tcPr>
            <w:tcW w:type="dxa" w:w="1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≥131</w:t>
            </w:r>
          </w:p>
        </w:tc>
      </w:tr>
    </w:tbl>
    <w:p>
      <w:pPr>
        <w:spacing w:before="60" w:after="60"/>
      </w:pPr>
      <w:r>
        <w:rPr>
          <w:rFonts w:ascii="Arial" w:cs="Arial" w:eastAsia="Arial" w:hAnsi="Arial"/>
          <w:b w:val="false"/>
          <w:bCs w:val="false"/>
          <w:color w:val="000000"/>
          <w:sz w:val="20"/>
          <w:szCs w:val="20"/>
        </w:rPr>
        <w:t xml:space="preserve"/>
      </w:r>
    </w:p>
    <w:p>
      <w:pPr>
        <w:pStyle w:val="Heading2"/>
        <w:spacing w:before="280" w:after="80"/>
      </w:pPr>
      <w:r>
        <w:rPr>
          <w:rFonts w:ascii="Arial" w:cs="Arial" w:eastAsia="Arial" w:hAnsi="Arial"/>
          <w:b/>
          <w:bCs/>
          <w:color w:val="2E75B6"/>
          <w:sz w:val="28"/>
          <w:szCs w:val="28"/>
        </w:rPr>
        <w:t xml:space="preserve">3.2 SpO₂ Scoring (Scale 1 — Non-COPD) and (Scale 2 — COPD)</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1400"/>
        <w:gridCol w:w="2960"/>
      </w:tblGrid>
      <w:tr>
        <w:tc>
          <w:tcPr>
            <w:tcW w:type="dxa" w:w="16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Scale</w:t>
            </w:r>
          </w:p>
        </w:tc>
        <w:tc>
          <w:tcPr>
            <w:tcW w:type="dxa" w:w="1400"/>
            <w:gridSpan w:val="1"/>
            <w:tcBorders>
              <w:top w:val="single" w:color="BBBBBB" w:sz="1"/>
              <w:left w:val="single" w:color="BBBBBB" w:sz="1"/>
              <w:bottom w:val="single" w:color="BBBBBB" w:sz="1"/>
              <w:right w:val="single" w:color="BBBBBB" w:sz="1"/>
            </w:tcBorders>
            <w:shd w:fill="C0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3</w:t>
            </w:r>
          </w:p>
        </w:tc>
        <w:tc>
          <w:tcPr>
            <w:tcW w:type="dxa" w:w="1400"/>
            <w:gridSpan w:val="1"/>
            <w:tcBorders>
              <w:top w:val="single" w:color="BBBBBB" w:sz="1"/>
              <w:left w:val="single" w:color="BBBBBB" w:sz="1"/>
              <w:bottom w:val="single" w:color="BBBBBB" w:sz="1"/>
              <w:right w:val="single" w:color="BBBBBB" w:sz="1"/>
            </w:tcBorders>
            <w:shd w:fill="BF8F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2</w:t>
            </w:r>
          </w:p>
        </w:tc>
        <w:tc>
          <w:tcPr>
            <w:tcW w:type="dxa" w:w="14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1</w:t>
            </w:r>
          </w:p>
        </w:tc>
        <w:tc>
          <w:tcPr>
            <w:tcW w:type="dxa" w:w="14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w:t>
            </w:r>
          </w:p>
        </w:tc>
        <w:tc>
          <w:tcPr>
            <w:tcW w:type="dxa" w:w="296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Use When</w:t>
            </w:r>
          </w:p>
        </w:tc>
      </w:tr>
      <w:tr>
        <w:tc>
          <w:tcPr>
            <w:tcW w:type="dxa" w:w="16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Scale 1 (Default)</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≤91%</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92–93%</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94–95%</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375623"/>
                <w:sz w:val="18"/>
                <w:szCs w:val="18"/>
              </w:rPr>
              <w:t xml:space="preserve">≥96%</w:t>
            </w:r>
          </w:p>
        </w:tc>
        <w:tc>
          <w:tcPr>
            <w:tcW w:type="dxa" w:w="29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No COPD diagnosis. Apply to all other patients.</w:t>
            </w:r>
          </w:p>
        </w:tc>
      </w:tr>
      <w:tr>
        <w:tc>
          <w:tcPr>
            <w:tcW w:type="dxa" w:w="16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bCs/>
                <w:color w:val="1F4E79"/>
                <w:sz w:val="18"/>
                <w:szCs w:val="18"/>
              </w:rPr>
              <w:t xml:space="preserve">Scale 2 (COPD)</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≤83%</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84–85%</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86–87%</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375623"/>
                <w:sz w:val="18"/>
                <w:szCs w:val="18"/>
              </w:rPr>
              <w:t xml:space="preserve">88–92%</w:t>
            </w:r>
          </w:p>
        </w:tc>
        <w:tc>
          <w:tcPr>
            <w:tcW w:type="dxa" w:w="29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COPD diagnosis confirmed. Scores 1–3 apply above 92% (on supplemental O2).</w:t>
            </w:r>
          </w:p>
        </w:tc>
      </w:tr>
    </w:tbl>
    <w:p>
      <w:pPr>
        <w:spacing w:before="60" w:after="60"/>
      </w:pPr>
      <w:r>
        <w:rPr>
          <w:rFonts w:ascii="Arial" w:cs="Arial" w:eastAsia="Arial" w:hAnsi="Arial"/>
          <w:b w:val="false"/>
          <w:bCs w:val="false"/>
          <w:color w:val="000000"/>
          <w:sz w:val="20"/>
          <w:szCs w:val="20"/>
        </w:rPr>
        <w:t xml:space="preserve"/>
      </w:r>
    </w:p>
    <w:p>
      <w:pPr>
        <w:pStyle w:val="Heading2"/>
        <w:spacing w:before="280" w:after="80"/>
      </w:pPr>
      <w:r>
        <w:rPr>
          <w:rFonts w:ascii="Arial" w:cs="Arial" w:eastAsia="Arial" w:hAnsi="Arial"/>
          <w:b/>
          <w:bCs/>
          <w:color w:val="2E75B6"/>
          <w:sz w:val="28"/>
          <w:szCs w:val="28"/>
        </w:rPr>
        <w:t xml:space="preserve">3.3 Temperature Scoring</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600"/>
        <w:gridCol w:w="1200"/>
        <w:gridCol w:w="2960"/>
      </w:tblGrid>
      <w:tr>
        <w:tc>
          <w:tcPr>
            <w:tcW w:type="dxa" w:w="18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Parameter</w:t>
            </w:r>
          </w:p>
        </w:tc>
        <w:tc>
          <w:tcPr>
            <w:tcW w:type="dxa" w:w="1200"/>
            <w:gridSpan w:val="1"/>
            <w:tcBorders>
              <w:top w:val="single" w:color="BBBBBB" w:sz="1"/>
              <w:left w:val="single" w:color="BBBBBB" w:sz="1"/>
              <w:bottom w:val="single" w:color="BBBBBB" w:sz="1"/>
              <w:right w:val="single" w:color="BBBBBB" w:sz="1"/>
            </w:tcBorders>
            <w:shd w:fill="C0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3</w:t>
            </w:r>
          </w:p>
        </w:tc>
        <w:tc>
          <w:tcPr>
            <w:tcW w:type="dxa" w:w="12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1</w:t>
            </w:r>
          </w:p>
        </w:tc>
        <w:tc>
          <w:tcPr>
            <w:tcW w:type="dxa" w:w="12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w:t>
            </w:r>
          </w:p>
        </w:tc>
        <w:tc>
          <w:tcPr>
            <w:tcW w:type="dxa" w:w="16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1</w:t>
            </w:r>
          </w:p>
        </w:tc>
        <w:tc>
          <w:tcPr>
            <w:tcW w:type="dxa" w:w="1200"/>
            <w:gridSpan w:val="1"/>
            <w:tcBorders>
              <w:top w:val="single" w:color="BBBBBB" w:sz="1"/>
              <w:left w:val="single" w:color="BBBBBB" w:sz="1"/>
              <w:bottom w:val="single" w:color="BBBBBB" w:sz="1"/>
              <w:right w:val="single" w:color="BBBBBB" w:sz="1"/>
            </w:tcBorders>
            <w:shd w:fill="BF8F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2</w:t>
            </w:r>
          </w:p>
        </w:tc>
        <w:tc>
          <w:tcPr>
            <w:tcW w:type="dxa" w:w="296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Note</w:t>
            </w:r>
          </w:p>
        </w:tc>
      </w:tr>
      <w:tr>
        <w:tc>
          <w:tcPr>
            <w:tcW w:type="dxa" w:w="18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Temperature (°C)</w:t>
            </w:r>
          </w:p>
        </w:tc>
        <w:tc>
          <w:tcPr>
            <w:tcW w:type="dxa" w:w="1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≤35.0</w:t>
            </w:r>
          </w:p>
        </w:tc>
        <w:tc>
          <w:tcPr>
            <w:tcW w:type="dxa" w:w="1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35.1–36.0</w:t>
            </w:r>
          </w:p>
        </w:tc>
        <w:tc>
          <w:tcPr>
            <w:tcW w:type="dxa" w:w="1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375623"/>
                <w:sz w:val="18"/>
                <w:szCs w:val="18"/>
              </w:rPr>
              <w:t xml:space="preserve">36.1–38.0</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38.1–39.0</w:t>
            </w:r>
          </w:p>
        </w:tc>
        <w:tc>
          <w:tcPr>
            <w:tcW w:type="dxa" w:w="1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≥39.1</w:t>
            </w:r>
          </w:p>
        </w:tc>
        <w:tc>
          <w:tcPr>
            <w:tcW w:type="dxa" w:w="29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No score 3 on high side for temperature in standard NEWS2</w:t>
            </w:r>
          </w:p>
        </w:tc>
      </w:tr>
    </w:tbl>
    <w:p>
      <w:pPr>
        <w:spacing w:before="60" w:after="60"/>
      </w:pPr>
      <w:r>
        <w:rPr>
          <w:rFonts w:ascii="Arial" w:cs="Arial" w:eastAsia="Arial" w:hAnsi="Arial"/>
          <w:b w:val="false"/>
          <w:bCs w:val="false"/>
          <w:color w:val="000000"/>
          <w:sz w:val="20"/>
          <w:szCs w:val="20"/>
        </w:rPr>
        <w:t xml:space="preserve"/>
      </w:r>
    </w:p>
    <w:p>
      <w:pPr>
        <w:pStyle w:val="Heading2"/>
        <w:spacing w:before="280" w:after="80"/>
      </w:pPr>
      <w:r>
        <w:rPr>
          <w:rFonts w:ascii="Arial" w:cs="Arial" w:eastAsia="Arial" w:hAnsi="Arial"/>
          <w:b/>
          <w:bCs/>
          <w:color w:val="2E75B6"/>
          <w:sz w:val="28"/>
          <w:szCs w:val="28"/>
        </w:rPr>
        <w:t xml:space="preserve">3.4 NEWS2 Total Score → Clinical Response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400"/>
        <w:gridCol w:w="3360"/>
      </w:tblGrid>
      <w:tr>
        <w:tc>
          <w:tcPr>
            <w:tcW w:type="dxa" w:w="12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Total Score</w:t>
            </w:r>
          </w:p>
        </w:tc>
        <w:tc>
          <w:tcPr>
            <w:tcW w:type="dxa" w:w="22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Risk Level</w:t>
            </w:r>
          </w:p>
        </w:tc>
        <w:tc>
          <w:tcPr>
            <w:tcW w:type="dxa" w:w="24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Monitoring Frequency</w:t>
            </w:r>
          </w:p>
        </w:tc>
        <w:tc>
          <w:tcPr>
            <w:tcW w:type="dxa" w:w="336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Required Action</w:t>
            </w:r>
          </w:p>
        </w:tc>
      </w:tr>
      <w:tr>
        <w:tc>
          <w:tcPr>
            <w:tcW w:type="dxa" w:w="1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0</w:t>
            </w:r>
          </w:p>
        </w:tc>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375623"/>
                <w:sz w:val="18"/>
                <w:szCs w:val="18"/>
              </w:rPr>
              <w:t xml:space="preserve">Low</w:t>
            </w:r>
          </w:p>
        </w:tc>
        <w:tc>
          <w:tcPr>
            <w:tcW w:type="dxa" w:w="2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Minimum 12-hourly</w:t>
            </w:r>
          </w:p>
        </w:tc>
        <w:tc>
          <w:tcPr>
            <w:tcW w:type="dxa" w:w="3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Continue routine monitoring</w:t>
            </w:r>
          </w:p>
        </w:tc>
      </w:tr>
      <w:tr>
        <w:tc>
          <w:tcPr>
            <w:tcW w:type="dxa" w:w="1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1–4</w:t>
            </w:r>
          </w:p>
        </w:tc>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BF8F00"/>
                <w:sz w:val="18"/>
                <w:szCs w:val="18"/>
              </w:rPr>
              <w:t xml:space="preserve">Low–Medium</w:t>
            </w:r>
          </w:p>
        </w:tc>
        <w:tc>
          <w:tcPr>
            <w:tcW w:type="dxa" w:w="2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4–6 hourly</w:t>
            </w:r>
          </w:p>
        </w:tc>
        <w:tc>
          <w:tcPr>
            <w:tcW w:type="dxa" w:w="3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Inform registered nurse. Increase monitoring frequency.</w:t>
            </w:r>
          </w:p>
        </w:tc>
      </w:tr>
      <w:tr>
        <w:tc>
          <w:tcPr>
            <w:tcW w:type="dxa" w:w="1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5–6</w:t>
            </w:r>
          </w:p>
        </w:tc>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BF8F00"/>
                <w:sz w:val="18"/>
                <w:szCs w:val="18"/>
              </w:rPr>
              <w:t xml:space="preserve">Medium</w:t>
            </w:r>
          </w:p>
        </w:tc>
        <w:tc>
          <w:tcPr>
            <w:tcW w:type="dxa" w:w="2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Hourly minimum</w:t>
            </w:r>
          </w:p>
        </w:tc>
        <w:tc>
          <w:tcPr>
            <w:tcW w:type="dxa" w:w="3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Urgent review by doctor within 30 minutes. Consider HDU.</w:t>
            </w:r>
          </w:p>
        </w:tc>
      </w:tr>
      <w:tr>
        <w:tc>
          <w:tcPr>
            <w:tcW w:type="dxa" w:w="1200"/>
            <w:gridSpan w:val="1"/>
            <w:tcBorders>
              <w:top w:val="single" w:color="BBBBBB" w:sz="1"/>
              <w:left w:val="single" w:color="BBBBBB" w:sz="1"/>
              <w:bottom w:val="single" w:color="BBBBBB" w:sz="1"/>
              <w:right w:val="single" w:color="BBBBBB" w:sz="1"/>
            </w:tcBorders>
            <w:shd w:fill="C0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≥7</w:t>
            </w:r>
          </w:p>
        </w:tc>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C00000"/>
                <w:sz w:val="18"/>
                <w:szCs w:val="18"/>
              </w:rPr>
              <w:t xml:space="preserve">High</w:t>
            </w:r>
          </w:p>
        </w:tc>
        <w:tc>
          <w:tcPr>
            <w:tcW w:type="dxa" w:w="2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Continuous</w:t>
            </w:r>
          </w:p>
        </w:tc>
        <w:tc>
          <w:tcPr>
            <w:tcW w:type="dxa" w:w="3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C00000"/>
                <w:sz w:val="18"/>
                <w:szCs w:val="18"/>
              </w:rPr>
              <w:t xml:space="preserve">Emergency response. Immediate physician review. Consider ICU transfer.</w:t>
            </w:r>
          </w:p>
        </w:tc>
      </w:tr>
      <w:tr>
        <w:tc>
          <w:tcPr>
            <w:tcW w:type="dxa" w:w="1200"/>
            <w:gridSpan w:val="1"/>
            <w:tcBorders>
              <w:top w:val="single" w:color="BBBBBB" w:sz="1"/>
              <w:left w:val="single" w:color="BBBBBB" w:sz="1"/>
              <w:bottom w:val="single" w:color="BBBBBB" w:sz="1"/>
              <w:right w:val="single" w:color="BBBBBB" w:sz="1"/>
            </w:tcBorders>
            <w:shd w:fill="7B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≥3 on any single parameter</w:t>
            </w:r>
          </w:p>
        </w:tc>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C00000"/>
                <w:sz w:val="18"/>
                <w:szCs w:val="18"/>
              </w:rPr>
              <w:t xml:space="preserve">Urgent — Single Parameter Flag</w:t>
            </w:r>
          </w:p>
        </w:tc>
        <w:tc>
          <w:tcPr>
            <w:tcW w:type="dxa" w:w="2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Immediate</w:t>
            </w:r>
          </w:p>
        </w:tc>
        <w:tc>
          <w:tcPr>
            <w:tcW w:type="dxa" w:w="3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C00000"/>
                <w:sz w:val="18"/>
                <w:szCs w:val="18"/>
              </w:rPr>
              <w:t xml:space="preserve">Even if total score is low, a single score of 3 requires urgent clinical review.</w:t>
            </w:r>
          </w:p>
        </w:tc>
      </w:tr>
    </w:tbl>
    <w:p>
      <w:pPr>
        <w:spacing w:before="40" w:after="100"/>
      </w:pPr>
      <w:r>
        <w:rPr>
          <w:rFonts w:ascii="Arial" w:cs="Arial" w:eastAsia="Arial" w:hAnsi="Arial"/>
          <w:color w:val="595959"/>
          <w:sz w:val="16"/>
          <w:szCs w:val="16"/>
        </w:rPr>
        <w:t xml:space="preserve">Source: RCP NEWS2 2017 — Table 2, Table 3. Adapted for 3-parameter implementation.</w:t>
      </w:r>
    </w:p>
    <w:p>
      <w:r>
        <w:br w:type="page"/>
      </w:r>
    </w:p>
    <w:p>
      <w:pPr>
        <w:pStyle w:val="Heading1"/>
        <w:spacing w:before="360" w:after="120"/>
      </w:pPr>
      <w:r>
        <w:rPr>
          <w:rFonts w:ascii="Arial" w:cs="Arial" w:eastAsia="Arial" w:hAnsi="Arial"/>
          <w:b/>
          <w:bCs/>
          <w:color w:val="1F4E79"/>
          <w:sz w:val="36"/>
          <w:szCs w:val="36"/>
        </w:rPr>
        <w:t xml:space="preserve">SECTION 4: DISEASE-SPECIFIC VITAL SIGN SIGNATURES</w:t>
      </w:r>
    </w:p>
    <w:p>
      <w:pPr>
        <w:spacing w:before="60" w:after="60"/>
      </w:pPr>
      <w:r>
        <w:rPr>
          <w:rFonts w:ascii="Arial" w:cs="Arial" w:eastAsia="Arial" w:hAnsi="Arial"/>
          <w:b w:val="false"/>
          <w:bCs w:val="false"/>
          <w:color w:val="000000"/>
          <w:sz w:val="20"/>
          <w:szCs w:val="20"/>
        </w:rPr>
        <w:t xml:space="preserve">The following defines the expected vital sign patterns for each clinical scenario in the training dataset. These patterns are derived from published clinical guidelines and represent the typical presentation, not all possible presentations. The AI model must learn that these patterns are probabilistic, not deterministic.</w:t>
      </w:r>
    </w:p>
    <w:p>
      <w:pPr>
        <w:pStyle w:val="Heading2"/>
        <w:spacing w:before="280" w:after="80"/>
      </w:pPr>
      <w:r>
        <w:rPr>
          <w:rFonts w:ascii="Arial" w:cs="Arial" w:eastAsia="Arial" w:hAnsi="Arial"/>
          <w:b/>
          <w:bCs/>
          <w:color w:val="2E75B6"/>
          <w:sz w:val="28"/>
          <w:szCs w:val="28"/>
        </w:rPr>
        <w:t xml:space="preserve">4.1 Sepsis / SIRS</w:t>
      </w:r>
    </w:p>
    <w:p>
      <w:pPr>
        <w:spacing w:before="40" w:after="100"/>
      </w:pPr>
      <w:r>
        <w:rPr>
          <w:rFonts w:ascii="Arial" w:cs="Arial" w:eastAsia="Arial" w:hAnsi="Arial"/>
          <w:color w:val="595959"/>
          <w:sz w:val="16"/>
          <w:szCs w:val="16"/>
        </w:rPr>
        <w:t xml:space="preserve">Source: Surviving Sepsis Campaign Guidelines 2021 (Singer et al., JAMA 2016, Sepsis-3)</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7560"/>
      </w:tblGrid>
      <w:tr>
        <w:tc>
          <w:tcPr>
            <w:tcW w:type="dxa" w:w="16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Vital Sign</w:t>
            </w:r>
          </w:p>
        </w:tc>
        <w:tc>
          <w:tcPr>
            <w:tcW w:type="dxa" w:w="756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Expected Pattern &amp; Values</w:t>
            </w:r>
          </w:p>
        </w:tc>
      </w:tr>
      <w:tr>
        <w:tc>
          <w:tcPr>
            <w:tcW w:type="dxa" w:w="16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Heart Rate</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Tachycardia &gt;90 BPM (SIRS criterion). May be &gt;120 in severe sepsis. Late-stage septic shock may present with bradycardia &lt;60 BPM — this is an ominous sign.</w:t>
            </w:r>
          </w:p>
        </w:tc>
      </w:tr>
      <w:tr>
        <w:tc>
          <w:tcPr>
            <w:tcW w:type="dxa" w:w="16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1F4E79"/>
                <w:sz w:val="18"/>
                <w:szCs w:val="18"/>
              </w:rPr>
              <w:t xml:space="preserve">SpO₂</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Normal initially. Falls to 94–96% in moderate sepsis. &lt;92% indicates respiratory compromise. &lt;88% = sepsis-induced ARDS.</w:t>
            </w:r>
          </w:p>
        </w:tc>
      </w:tr>
      <w:tr>
        <w:tc>
          <w:tcPr>
            <w:tcW w:type="dxa" w:w="16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Temperature</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&gt;38.3°C (fever) OR &lt;36.0°C (hypothermia). Hypothermia is associated with worse prognosis. Elderly may not mount a fever response.</w:t>
            </w:r>
          </w:p>
        </w:tc>
      </w:tr>
      <w:tr>
        <w:tc>
          <w:tcPr>
            <w:tcW w:type="dxa" w:w="16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bCs/>
                <w:color w:val="1F4E79"/>
                <w:sz w:val="18"/>
                <w:szCs w:val="18"/>
              </w:rPr>
              <w:t xml:space="preserve">AI Pattern</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E4620"/>
                <w:sz w:val="18"/>
                <w:szCs w:val="18"/>
              </w:rPr>
              <w:t xml:space="preserve">HR rising + Temp rising simultaneously over 30–60 minutes is the primary AI detection signature. SIRS = HR &gt;90 AND Temp &gt;38.3 or &lt;36.0 BOTH met.</w:t>
            </w:r>
          </w:p>
        </w:tc>
      </w:tr>
      <w:tr>
        <w:tc>
          <w:tcPr>
            <w:tcW w:type="dxa" w:w="16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tcPr>
          <w:p>
            <w:pPr>
              <w:jc w:val="left"/>
            </w:pPr>
            <w:r>
              <w:rPr>
                <w:rFonts w:ascii="Arial" w:cs="Arial" w:eastAsia="Arial" w:hAnsi="Arial"/>
                <w:b/>
                <w:bCs/>
                <w:color w:val="1F4E79"/>
                <w:sz w:val="18"/>
                <w:szCs w:val="18"/>
              </w:rPr>
              <w:t xml:space="preserve">Alert Rule</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C00000"/>
                <w:sz w:val="18"/>
                <w:szCs w:val="18"/>
              </w:rPr>
              <w:t xml:space="preserve">CRITICAL: Both SIRS criteria met (HR &gt;90 + Temp &gt;38.3 or &lt;36) → Sepsis screening positive. Immediate clinical review required.</w:t>
            </w:r>
          </w:p>
        </w:tc>
      </w:tr>
    </w:tbl>
    <w:p>
      <w:pPr>
        <w:spacing w:before="60" w:after="60"/>
      </w:pPr>
      <w:r>
        <w:rPr>
          <w:rFonts w:ascii="Arial" w:cs="Arial" w:eastAsia="Arial" w:hAnsi="Arial"/>
          <w:b w:val="false"/>
          <w:bCs w:val="false"/>
          <w:color w:val="000000"/>
          <w:sz w:val="20"/>
          <w:szCs w:val="20"/>
        </w:rPr>
        <w:t xml:space="preserve"/>
      </w:r>
    </w:p>
    <w:p>
      <w:pPr>
        <w:pStyle w:val="Heading2"/>
        <w:spacing w:before="280" w:after="80"/>
      </w:pPr>
      <w:r>
        <w:rPr>
          <w:rFonts w:ascii="Arial" w:cs="Arial" w:eastAsia="Arial" w:hAnsi="Arial"/>
          <w:b/>
          <w:bCs/>
          <w:color w:val="2E75B6"/>
          <w:sz w:val="28"/>
          <w:szCs w:val="28"/>
        </w:rPr>
        <w:t xml:space="preserve">4.2 Pneumonia</w:t>
      </w:r>
    </w:p>
    <w:p>
      <w:pPr>
        <w:spacing w:before="40" w:after="100"/>
      </w:pPr>
      <w:r>
        <w:rPr>
          <w:rFonts w:ascii="Arial" w:cs="Arial" w:eastAsia="Arial" w:hAnsi="Arial"/>
          <w:color w:val="595959"/>
          <w:sz w:val="16"/>
          <w:szCs w:val="16"/>
        </w:rPr>
        <w:t xml:space="preserve">Source: BTS Guidelines for Management of Community Acquired Pneumonia in Adults 2023</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7560"/>
      </w:tblGrid>
      <w:tr>
        <w:tc>
          <w:tcPr>
            <w:tcW w:type="dxa" w:w="16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Vital Sign</w:t>
            </w:r>
          </w:p>
        </w:tc>
        <w:tc>
          <w:tcPr>
            <w:tcW w:type="dxa" w:w="756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Expected Pattern &amp; Values</w:t>
            </w:r>
          </w:p>
        </w:tc>
      </w:tr>
      <w:tr>
        <w:tc>
          <w:tcPr>
            <w:tcW w:type="dxa" w:w="16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Heart Rate</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Tachycardia 100–130 BPM. Correlates with fever severity. CURB-65 score uses HR &gt;125 as a severity criterion.</w:t>
            </w:r>
          </w:p>
        </w:tc>
      </w:tr>
      <w:tr>
        <w:tc>
          <w:tcPr>
            <w:tcW w:type="dxa" w:w="16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1F4E79"/>
                <w:sz w:val="18"/>
                <w:szCs w:val="18"/>
              </w:rPr>
              <w:t xml:space="preserve">SpO₂</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Mild: 94–96%. Moderate: 90–93%. Severe: &lt;90%. Characteristic pattern is persistent low SpO₂ not responding to position change.</w:t>
            </w:r>
          </w:p>
        </w:tc>
      </w:tr>
      <w:tr>
        <w:tc>
          <w:tcPr>
            <w:tcW w:type="dxa" w:w="16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Temperature</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Typically 38.0–40.5°C. High fever (&gt;39.5°C) with tachycardia is classic presentation. Elderly may have lower fever.</w:t>
            </w:r>
          </w:p>
        </w:tc>
      </w:tr>
      <w:tr>
        <w:tc>
          <w:tcPr>
            <w:tcW w:type="dxa" w:w="16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bCs/>
                <w:color w:val="1F4E79"/>
                <w:sz w:val="18"/>
                <w:szCs w:val="18"/>
              </w:rPr>
              <w:t xml:space="preserve">AI Pattern</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E4620"/>
                <w:sz w:val="18"/>
                <w:szCs w:val="18"/>
              </w:rPr>
              <w:t xml:space="preserve">Sustained SpO₂ drop (not transient) + Temp &gt;38°C + HR &gt;100 sustained over multiple readings. SpO₂ characteristically does not recover to baseline between readings.</w:t>
            </w:r>
          </w:p>
        </w:tc>
      </w:tr>
      <w:tr>
        <w:tc>
          <w:tcPr>
            <w:tcW w:type="dxa" w:w="16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left"/>
            </w:pPr>
            <w:r>
              <w:rPr>
                <w:rFonts w:ascii="Arial" w:cs="Arial" w:eastAsia="Arial" w:hAnsi="Arial"/>
                <w:b/>
                <w:bCs/>
                <w:color w:val="1F4E79"/>
                <w:sz w:val="18"/>
                <w:szCs w:val="18"/>
              </w:rPr>
              <w:t xml:space="preserve">Alert Rule</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C00000"/>
                <w:sz w:val="18"/>
                <w:szCs w:val="18"/>
              </w:rPr>
              <w:t xml:space="preserve">Moderate concern: SpO₂ &lt;94% sustained + Temp &gt;38°C + HR &gt;100 for &gt;15 minutes.</w:t>
            </w:r>
          </w:p>
        </w:tc>
      </w:tr>
    </w:tbl>
    <w:p>
      <w:pPr>
        <w:spacing w:before="60" w:after="60"/>
      </w:pPr>
      <w:r>
        <w:rPr>
          <w:rFonts w:ascii="Arial" w:cs="Arial" w:eastAsia="Arial" w:hAnsi="Arial"/>
          <w:b w:val="false"/>
          <w:bCs w:val="false"/>
          <w:color w:val="000000"/>
          <w:sz w:val="20"/>
          <w:szCs w:val="20"/>
        </w:rPr>
        <w:t xml:space="preserve"/>
      </w:r>
    </w:p>
    <w:p>
      <w:pPr>
        <w:pStyle w:val="Heading2"/>
        <w:spacing w:before="280" w:after="80"/>
      </w:pPr>
      <w:r>
        <w:rPr>
          <w:rFonts w:ascii="Arial" w:cs="Arial" w:eastAsia="Arial" w:hAnsi="Arial"/>
          <w:b/>
          <w:bCs/>
          <w:color w:val="2E75B6"/>
          <w:sz w:val="28"/>
          <w:szCs w:val="28"/>
        </w:rPr>
        <w:t xml:space="preserve">4.3 COPD Exacerbation</w:t>
      </w:r>
    </w:p>
    <w:p>
      <w:pPr>
        <w:spacing w:before="40" w:after="100"/>
      </w:pPr>
      <w:r>
        <w:rPr>
          <w:rFonts w:ascii="Arial" w:cs="Arial" w:eastAsia="Arial" w:hAnsi="Arial"/>
          <w:color w:val="595959"/>
          <w:sz w:val="16"/>
          <w:szCs w:val="16"/>
        </w:rPr>
        <w:t xml:space="preserve">Source: GOLD Guidelines 2023 — Global Strategy for Prevention, Diagnosis and Management of COPD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7560"/>
      </w:tblGrid>
      <w:tr>
        <w:tc>
          <w:tcPr>
            <w:tcW w:type="dxa" w:w="16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Vital Sign</w:t>
            </w:r>
          </w:p>
        </w:tc>
        <w:tc>
          <w:tcPr>
            <w:tcW w:type="dxa" w:w="756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Expected Pattern &amp; Values</w:t>
            </w:r>
          </w:p>
        </w:tc>
      </w:tr>
      <w:tr>
        <w:tc>
          <w:tcPr>
            <w:tcW w:type="dxa" w:w="16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Heart Rate</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HR 95–120 BPM during exacerbation. Baseline HR often already elevated at 80–95 BPM. Tachycardia driven by hypoxia and anxiety.</w:t>
            </w:r>
          </w:p>
        </w:tc>
      </w:tr>
      <w:tr>
        <w:tc>
          <w:tcPr>
            <w:tcW w:type="dxa" w:w="16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1F4E79"/>
                <w:sz w:val="18"/>
                <w:szCs w:val="18"/>
              </w:rPr>
              <w:t xml:space="preserve">SpO₂</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KEY RULE: Compare against patient personal baseline, NOT population norms. A drop of ≥4% from personal baseline is the GOLD criterion for exacerbation, regardless of absolute value. Target SpO₂ on O2 therapy is 88–92%, NOT the normal 95%+.</w:t>
            </w:r>
          </w:p>
        </w:tc>
      </w:tr>
      <w:tr>
        <w:tc>
          <w:tcPr>
            <w:tcW w:type="dxa" w:w="16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Temperature</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May be afebrile (viral exacerbation) or mildly febrile 37.5–38.5°C (bacterial exacerbation). High fever &gt;39°C suggests concurrent pneumonia.</w:t>
            </w:r>
          </w:p>
        </w:tc>
      </w:tr>
      <w:tr>
        <w:tc>
          <w:tcPr>
            <w:tcW w:type="dxa" w:w="16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bCs/>
                <w:color w:val="1F4E79"/>
                <w:sz w:val="18"/>
                <w:szCs w:val="18"/>
              </w:rPr>
              <w:t xml:space="preserve">AI Pattern</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E4620"/>
                <w:sz w:val="18"/>
                <w:szCs w:val="18"/>
              </w:rPr>
              <w:t xml:space="preserve">Sustained SpO₂ drop from personal baseline (≥4%) + HR elevation + increased HR variability. Absence of fever does not exclude COPD exacerbation.</w:t>
            </w:r>
          </w:p>
        </w:tc>
      </w:tr>
      <w:tr>
        <w:tc>
          <w:tcPr>
            <w:tcW w:type="dxa" w:w="16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left"/>
            </w:pPr>
            <w:r>
              <w:rPr>
                <w:rFonts w:ascii="Arial" w:cs="Arial" w:eastAsia="Arial" w:hAnsi="Arial"/>
                <w:b/>
                <w:bCs/>
                <w:color w:val="1F4E79"/>
                <w:sz w:val="18"/>
                <w:szCs w:val="18"/>
              </w:rPr>
              <w:t xml:space="preserve">Alert Rule</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C00000"/>
                <w:sz w:val="18"/>
                <w:szCs w:val="18"/>
              </w:rPr>
              <w:t xml:space="preserve">COPD-specific: SpO₂ drop ≥4% from personal baseline → Exacerbation alert regardless of absolute SpO₂ value.</w:t>
            </w:r>
          </w:p>
        </w:tc>
      </w:tr>
    </w:tbl>
    <w:p>
      <w:pPr>
        <w:spacing w:before="60" w:after="60"/>
      </w:pPr>
      <w:r>
        <w:rPr>
          <w:rFonts w:ascii="Arial" w:cs="Arial" w:eastAsia="Arial" w:hAnsi="Arial"/>
          <w:b w:val="false"/>
          <w:bCs w:val="false"/>
          <w:color w:val="000000"/>
          <w:sz w:val="20"/>
          <w:szCs w:val="20"/>
        </w:rPr>
        <w:t xml:space="preserve"/>
      </w:r>
    </w:p>
    <w:p>
      <w:pPr>
        <w:pStyle w:val="Heading2"/>
        <w:spacing w:before="280" w:after="80"/>
      </w:pPr>
      <w:r>
        <w:rPr>
          <w:rFonts w:ascii="Arial" w:cs="Arial" w:eastAsia="Arial" w:hAnsi="Arial"/>
          <w:b/>
          <w:bCs/>
          <w:color w:val="2E75B6"/>
          <w:sz w:val="28"/>
          <w:szCs w:val="28"/>
        </w:rPr>
        <w:t xml:space="preserve">4.4 Asthma Exacerbation</w:t>
      </w:r>
    </w:p>
    <w:p>
      <w:pPr>
        <w:spacing w:before="40" w:after="100"/>
      </w:pPr>
      <w:r>
        <w:rPr>
          <w:rFonts w:ascii="Arial" w:cs="Arial" w:eastAsia="Arial" w:hAnsi="Arial"/>
          <w:color w:val="595959"/>
          <w:sz w:val="16"/>
          <w:szCs w:val="16"/>
        </w:rPr>
        <w:t xml:space="preserve">Source: GINA Guidelines 2023 — Global Strategy for Asthma Management and Prevention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7560"/>
      </w:tblGrid>
      <w:tr>
        <w:tc>
          <w:tcPr>
            <w:tcW w:type="dxa" w:w="16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Vital Sign</w:t>
            </w:r>
          </w:p>
        </w:tc>
        <w:tc>
          <w:tcPr>
            <w:tcW w:type="dxa" w:w="756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Expected Pattern &amp; Values</w:t>
            </w:r>
          </w:p>
        </w:tc>
      </w:tr>
      <w:tr>
        <w:tc>
          <w:tcPr>
            <w:tcW w:type="dxa" w:w="16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Heart Rate</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Moderate: 100–120 BPM. Severe: 120–140 BPM. Life-threatening: may show bradycardia as a pre-arrest sign.</w:t>
            </w:r>
          </w:p>
        </w:tc>
      </w:tr>
      <w:tr>
        <w:tc>
          <w:tcPr>
            <w:tcW w:type="dxa" w:w="16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1F4E79"/>
                <w:sz w:val="18"/>
                <w:szCs w:val="18"/>
              </w:rPr>
              <w:t xml:space="preserve">SpO₂</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Mild: ≥95%. Moderate: 92–95%. Severe: &lt;92%. Life-threatening: &lt;90%. GINA defines severity primarily by SpO₂.</w:t>
            </w:r>
          </w:p>
        </w:tc>
      </w:tr>
      <w:tr>
        <w:tc>
          <w:tcPr>
            <w:tcW w:type="dxa" w:w="16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Temperature</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Typically normal or slightly elevated 37.0–38.0°C. High fever suggests concurrent infection precipitating the attack.</w:t>
            </w:r>
          </w:p>
        </w:tc>
      </w:tr>
      <w:tr>
        <w:tc>
          <w:tcPr>
            <w:tcW w:type="dxa" w:w="16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bCs/>
                <w:color w:val="1F4E79"/>
                <w:sz w:val="18"/>
                <w:szCs w:val="18"/>
              </w:rPr>
              <w:t xml:space="preserve">AI Pattern</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E4620"/>
                <w:sz w:val="18"/>
                <w:szCs w:val="18"/>
              </w:rPr>
              <w:t xml:space="preserve">Rapidly deteriorating SpO₂ (faster than COPD exacerbation) + HR spike + normal or low temperature. SpO₂ drop is typically more acute (minutes, not hours) than COPD.</w:t>
            </w:r>
          </w:p>
        </w:tc>
      </w:tr>
      <w:tr>
        <w:tc>
          <w:tcPr>
            <w:tcW w:type="dxa" w:w="16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left"/>
            </w:pPr>
            <w:r>
              <w:rPr>
                <w:rFonts w:ascii="Arial" w:cs="Arial" w:eastAsia="Arial" w:hAnsi="Arial"/>
                <w:b/>
                <w:bCs/>
                <w:color w:val="1F4E79"/>
                <w:sz w:val="18"/>
                <w:szCs w:val="18"/>
              </w:rPr>
              <w:t xml:space="preserve">Alert Rule</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C00000"/>
                <w:sz w:val="18"/>
                <w:szCs w:val="18"/>
              </w:rPr>
              <w:t xml:space="preserve">Severe: SpO₂ &lt;92% in asthma patient → Emergency. Life-threatening: SpO₂ &lt;90% → 999/112 immediately.</w:t>
            </w:r>
          </w:p>
        </w:tc>
      </w:tr>
    </w:tbl>
    <w:p>
      <w:pPr>
        <w:spacing w:before="60" w:after="60"/>
      </w:pPr>
      <w:r>
        <w:rPr>
          <w:rFonts w:ascii="Arial" w:cs="Arial" w:eastAsia="Arial" w:hAnsi="Arial"/>
          <w:b w:val="false"/>
          <w:bCs w:val="false"/>
          <w:color w:val="000000"/>
          <w:sz w:val="20"/>
          <w:szCs w:val="20"/>
        </w:rPr>
        <w:t xml:space="preserve"/>
      </w:r>
    </w:p>
    <w:p>
      <w:pPr>
        <w:pStyle w:val="Heading2"/>
        <w:spacing w:before="280" w:after="80"/>
      </w:pPr>
      <w:r>
        <w:rPr>
          <w:rFonts w:ascii="Arial" w:cs="Arial" w:eastAsia="Arial" w:hAnsi="Arial"/>
          <w:b/>
          <w:bCs/>
          <w:color w:val="2E75B6"/>
          <w:sz w:val="28"/>
          <w:szCs w:val="28"/>
        </w:rPr>
        <w:t xml:space="preserve">4.5 Cardiac Event (ACS)</w:t>
      </w:r>
    </w:p>
    <w:p>
      <w:pPr>
        <w:spacing w:before="40" w:after="100"/>
      </w:pPr>
      <w:r>
        <w:rPr>
          <w:rFonts w:ascii="Arial" w:cs="Arial" w:eastAsia="Arial" w:hAnsi="Arial"/>
          <w:color w:val="595959"/>
          <w:sz w:val="16"/>
          <w:szCs w:val="16"/>
        </w:rPr>
        <w:t xml:space="preserve">Source: AHA/ACC Guidelines for Management of Patients with Acute Coronary Syndromes 2022</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7560"/>
      </w:tblGrid>
      <w:tr>
        <w:tc>
          <w:tcPr>
            <w:tcW w:type="dxa" w:w="16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Vital Sign</w:t>
            </w:r>
          </w:p>
        </w:tc>
        <w:tc>
          <w:tcPr>
            <w:tcW w:type="dxa" w:w="756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Expected Pattern &amp; Values</w:t>
            </w:r>
          </w:p>
        </w:tc>
      </w:tr>
      <w:tr>
        <w:tc>
          <w:tcPr>
            <w:tcW w:type="dxa" w:w="16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Heart Rate</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Highly variable. STEMI: may have bradycardia &lt;60 BPM (vagal response, especially inferior MI) OR tachycardia &gt;100 BPM. Cardiogenic shock: HR &gt;100 with cold peripheries.</w:t>
            </w:r>
          </w:p>
        </w:tc>
      </w:tr>
      <w:tr>
        <w:tc>
          <w:tcPr>
            <w:tcW w:type="dxa" w:w="16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1F4E79"/>
                <w:sz w:val="18"/>
                <w:szCs w:val="18"/>
              </w:rPr>
              <w:t xml:space="preserve">SpO₂</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Normal in uncomplicated ACS. Drops to 90–95% in left ventricular failure. &lt;90% indicates acute pulmonary oedema or cardiogenic shock.</w:t>
            </w:r>
          </w:p>
        </w:tc>
      </w:tr>
      <w:tr>
        <w:tc>
          <w:tcPr>
            <w:tcW w:type="dxa" w:w="16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Temperature</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Mildly elevated 37.5–38.5°C peri-infarct (inflammatory response). Normalises within 48 hours.</w:t>
            </w:r>
          </w:p>
        </w:tc>
      </w:tr>
      <w:tr>
        <w:tc>
          <w:tcPr>
            <w:tcW w:type="dxa" w:w="16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bCs/>
                <w:color w:val="1F4E79"/>
                <w:sz w:val="18"/>
                <w:szCs w:val="18"/>
              </w:rPr>
              <w:t xml:space="preserve">AI Pattern</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E4620"/>
                <w:sz w:val="18"/>
                <w:szCs w:val="18"/>
              </w:rPr>
              <w:t xml:space="preserve">HR irregularity (SDNN collapse) + SpO₂ drop if cardiac output fails. Bradycardia + SpO₂ drop in the context of chest symptoms = highest ACS suspicion. CRITICAL: HR &lt;40 BPM with SpO₂ drop = potential cardiac arrest precursor.</w:t>
            </w:r>
          </w:p>
        </w:tc>
      </w:tr>
      <w:tr>
        <w:tc>
          <w:tcPr>
            <w:tcW w:type="dxa" w:w="16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tcPr>
          <w:p>
            <w:pPr>
              <w:jc w:val="left"/>
            </w:pPr>
            <w:r>
              <w:rPr>
                <w:rFonts w:ascii="Arial" w:cs="Arial" w:eastAsia="Arial" w:hAnsi="Arial"/>
                <w:b/>
                <w:bCs/>
                <w:color w:val="1F4E79"/>
                <w:sz w:val="18"/>
                <w:szCs w:val="18"/>
              </w:rPr>
              <w:t xml:space="preserve">Alert Rule</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C00000"/>
                <w:sz w:val="18"/>
                <w:szCs w:val="18"/>
              </w:rPr>
              <w:t xml:space="preserve">HIGH RISK: HR &lt;40 or &gt;150 with concurrent SpO₂ &lt;94% → Immediate emergency response regardless of temperature.</w:t>
            </w:r>
          </w:p>
        </w:tc>
      </w:tr>
    </w:tbl>
    <w:p>
      <w:pPr>
        <w:spacing w:before="60" w:after="60"/>
      </w:pPr>
      <w:r>
        <w:rPr>
          <w:rFonts w:ascii="Arial" w:cs="Arial" w:eastAsia="Arial" w:hAnsi="Arial"/>
          <w:b w:val="false"/>
          <w:bCs w:val="false"/>
          <w:color w:val="000000"/>
          <w:sz w:val="20"/>
          <w:szCs w:val="20"/>
        </w:rPr>
        <w:t xml:space="preserve"/>
      </w:r>
    </w:p>
    <w:p>
      <w:pPr>
        <w:pStyle w:val="Heading2"/>
        <w:spacing w:before="280" w:after="80"/>
      </w:pPr>
      <w:r>
        <w:rPr>
          <w:rFonts w:ascii="Arial" w:cs="Arial" w:eastAsia="Arial" w:hAnsi="Arial"/>
          <w:b/>
          <w:bCs/>
          <w:color w:val="2E75B6"/>
          <w:sz w:val="28"/>
          <w:szCs w:val="28"/>
        </w:rPr>
        <w:t xml:space="preserve">4.6 Fever (Isolated)</w:t>
      </w:r>
    </w:p>
    <w:p>
      <w:pPr>
        <w:spacing w:before="40" w:after="100"/>
      </w:pPr>
      <w:r>
        <w:rPr>
          <w:rFonts w:ascii="Arial" w:cs="Arial" w:eastAsia="Arial" w:hAnsi="Arial"/>
          <w:color w:val="595959"/>
          <w:sz w:val="16"/>
          <w:szCs w:val="16"/>
        </w:rPr>
        <w:t xml:space="preserve">Source: WHO Fever Definition · NICE CG160 Fever in under 5s · Hasday JD, J Appl Physiol 2000</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7560"/>
      </w:tblGrid>
      <w:tr>
        <w:tc>
          <w:tcPr>
            <w:tcW w:type="dxa" w:w="16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Vital Sign</w:t>
            </w:r>
          </w:p>
        </w:tc>
        <w:tc>
          <w:tcPr>
            <w:tcW w:type="dxa" w:w="756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Expected Pattern &amp; Values</w:t>
            </w:r>
          </w:p>
        </w:tc>
      </w:tr>
      <w:tr>
        <w:tc>
          <w:tcPr>
            <w:tcW w:type="dxa" w:w="16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Heart Rate</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HR rises approximately 10 BPM per 1°C rise above normal body temperature. A patient with Temp 39.5°C should have HR approximately 110–120 BPM. Fever with paradoxically low HR (relative bradycardia) is a red flag for typhoid or brucellosis.</w:t>
            </w:r>
          </w:p>
        </w:tc>
      </w:tr>
      <w:tr>
        <w:tc>
          <w:tcPr>
            <w:tcW w:type="dxa" w:w="16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1F4E79"/>
                <w:sz w:val="18"/>
                <w:szCs w:val="18"/>
              </w:rPr>
              <w:t xml:space="preserve">SpO₂</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Mildly reduced 94–97%. High fever (&gt;40°C) causes peripheral vasodilation and may lower SpO₂ reading due to perfusion changes.</w:t>
            </w:r>
          </w:p>
        </w:tc>
      </w:tr>
      <w:tr>
        <w:tc>
          <w:tcPr>
            <w:tcW w:type="dxa" w:w="16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Temperature</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Low-grade: 37.3–38.0°C. Fever: 38.0–39.0°C. High fever: 39.1–40.0°C. Hyperpyrexia: &gt;40.5°C (medical emergency).</w:t>
            </w:r>
          </w:p>
        </w:tc>
      </w:tr>
      <w:tr>
        <w:tc>
          <w:tcPr>
            <w:tcW w:type="dxa" w:w="16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bCs/>
                <w:color w:val="1F4E79"/>
                <w:sz w:val="18"/>
                <w:szCs w:val="18"/>
              </w:rPr>
              <w:t xml:space="preserve">AI Pattern</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E4620"/>
                <w:sz w:val="18"/>
                <w:szCs w:val="18"/>
              </w:rPr>
              <w:t xml:space="preserve">Proportional HR-Temp relationship is the key AI feature. If HR rise is disproportionate to Temp rise, suspect a secondary complication (sepsis, cardiac involvement).</w:t>
            </w:r>
          </w:p>
        </w:tc>
      </w:tr>
      <w:tr>
        <w:tc>
          <w:tcPr>
            <w:tcW w:type="dxa" w:w="16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left"/>
            </w:pPr>
            <w:r>
              <w:rPr>
                <w:rFonts w:ascii="Arial" w:cs="Arial" w:eastAsia="Arial" w:hAnsi="Arial"/>
                <w:b/>
                <w:bCs/>
                <w:color w:val="1F4E79"/>
                <w:sz w:val="18"/>
                <w:szCs w:val="18"/>
              </w:rPr>
              <w:t xml:space="preserve">Alert Rule</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C00000"/>
                <w:sz w:val="18"/>
                <w:szCs w:val="18"/>
              </w:rPr>
              <w:t xml:space="preserve">Hyperpyrexia: Temp &gt;40.5°C → Emergency regardless of HR and SpO₂.</w:t>
            </w:r>
          </w:p>
        </w:tc>
      </w:tr>
    </w:tbl>
    <w:p>
      <w:pPr>
        <w:spacing w:before="60" w:after="60"/>
      </w:pPr>
      <w:r>
        <w:rPr>
          <w:rFonts w:ascii="Arial" w:cs="Arial" w:eastAsia="Arial" w:hAnsi="Arial"/>
          <w:b w:val="false"/>
          <w:bCs w:val="false"/>
          <w:color w:val="000000"/>
          <w:sz w:val="20"/>
          <w:szCs w:val="20"/>
        </w:rPr>
        <w:t xml:space="preserve"/>
      </w:r>
    </w:p>
    <w:p>
      <w:pPr>
        <w:pStyle w:val="Heading2"/>
        <w:spacing w:before="280" w:after="80"/>
      </w:pPr>
      <w:r>
        <w:rPr>
          <w:rFonts w:ascii="Arial" w:cs="Arial" w:eastAsia="Arial" w:hAnsi="Arial"/>
          <w:b/>
          <w:bCs/>
          <w:color w:val="2E75B6"/>
          <w:sz w:val="28"/>
          <w:szCs w:val="28"/>
        </w:rPr>
        <w:t xml:space="preserve">4.7 Hypoxia</w:t>
      </w:r>
    </w:p>
    <w:p>
      <w:pPr>
        <w:spacing w:before="40" w:after="100"/>
      </w:pPr>
      <w:r>
        <w:rPr>
          <w:rFonts w:ascii="Arial" w:cs="Arial" w:eastAsia="Arial" w:hAnsi="Arial"/>
          <w:color w:val="595959"/>
          <w:sz w:val="16"/>
          <w:szCs w:val="16"/>
        </w:rPr>
        <w:t xml:space="preserve">Source: WHO Pulse Oximetry Training Manual · AARC Clinical Practice Guidelines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7560"/>
      </w:tblGrid>
      <w:tr>
        <w:tc>
          <w:tcPr>
            <w:tcW w:type="dxa" w:w="16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Vital Sign</w:t>
            </w:r>
          </w:p>
        </w:tc>
        <w:tc>
          <w:tcPr>
            <w:tcW w:type="dxa" w:w="756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Expected Pattern &amp; Values</w:t>
            </w:r>
          </w:p>
        </w:tc>
      </w:tr>
      <w:tr>
        <w:tc>
          <w:tcPr>
            <w:tcW w:type="dxa" w:w="16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Heart Rate</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Compensatory tachycardia 100–140 BPM initially. If hypoxia severe and prolonged, bradycardia develops as a terminal sign.</w:t>
            </w:r>
          </w:p>
        </w:tc>
      </w:tr>
      <w:tr>
        <w:tc>
          <w:tcPr>
            <w:tcW w:type="dxa" w:w="16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1F4E79"/>
                <w:sz w:val="18"/>
                <w:szCs w:val="18"/>
              </w:rPr>
              <w:t xml:space="preserve">SpO₂</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Mild hypoxia: 90–94%. Moderate: 85–90%. Severe: &lt;85%. Critical: &lt;80% (consciousness affected at this level).</w:t>
            </w:r>
          </w:p>
        </w:tc>
      </w:tr>
      <w:tr>
        <w:tc>
          <w:tcPr>
            <w:tcW w:type="dxa" w:w="16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Temperature</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Normal in isolated hypoxia unless infection is the cause. Temperature is not a primary hypoxia indicator.</w:t>
            </w:r>
          </w:p>
        </w:tc>
      </w:tr>
      <w:tr>
        <w:tc>
          <w:tcPr>
            <w:tcW w:type="dxa" w:w="16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bCs/>
                <w:color w:val="1F4E79"/>
                <w:sz w:val="18"/>
                <w:szCs w:val="18"/>
              </w:rPr>
              <w:t xml:space="preserve">AI Pattern</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E4620"/>
                <w:sz w:val="18"/>
                <w:szCs w:val="18"/>
              </w:rPr>
              <w:t xml:space="preserve">SpO₂ below age-adjusted threshold + compensatory HR rise. Trend matters: rapidly falling SpO₂ (&gt;2% per minute) is more concerning than stable low SpO₂.</w:t>
            </w:r>
          </w:p>
        </w:tc>
      </w:tr>
      <w:tr>
        <w:tc>
          <w:tcPr>
            <w:tcW w:type="dxa" w:w="16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tcPr>
          <w:p>
            <w:pPr>
              <w:jc w:val="left"/>
            </w:pPr>
            <w:r>
              <w:rPr>
                <w:rFonts w:ascii="Arial" w:cs="Arial" w:eastAsia="Arial" w:hAnsi="Arial"/>
                <w:b/>
                <w:bCs/>
                <w:color w:val="1F4E79"/>
                <w:sz w:val="18"/>
                <w:szCs w:val="18"/>
              </w:rPr>
              <w:t xml:space="preserve">Alert Rule</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C00000"/>
                <w:sz w:val="18"/>
                <w:szCs w:val="18"/>
              </w:rPr>
              <w:t xml:space="preserve">Moderate: SpO₂ &lt;90% → Urgent. Severe: SpO₂ &lt;85% → Emergency. Critical: SpO₂ &lt;80% → Immediate resuscitation protocol.</w:t>
            </w:r>
          </w:p>
        </w:tc>
      </w:tr>
    </w:tbl>
    <w:p>
      <w:pPr>
        <w:spacing w:before="60" w:after="60"/>
      </w:pPr>
      <w:r>
        <w:rPr>
          <w:rFonts w:ascii="Arial" w:cs="Arial" w:eastAsia="Arial" w:hAnsi="Arial"/>
          <w:b w:val="false"/>
          <w:bCs w:val="false"/>
          <w:color w:val="000000"/>
          <w:sz w:val="20"/>
          <w:szCs w:val="20"/>
        </w:rPr>
        <w:t xml:space="preserve"/>
      </w:r>
    </w:p>
    <w:p>
      <w:pPr>
        <w:pStyle w:val="Heading2"/>
        <w:spacing w:before="280" w:after="80"/>
      </w:pPr>
      <w:r>
        <w:rPr>
          <w:rFonts w:ascii="Arial" w:cs="Arial" w:eastAsia="Arial" w:hAnsi="Arial"/>
          <w:b/>
          <w:bCs/>
          <w:color w:val="2E75B6"/>
          <w:sz w:val="28"/>
          <w:szCs w:val="28"/>
        </w:rPr>
        <w:t xml:space="preserve">4.8 Respiratory Distress</w:t>
      </w:r>
    </w:p>
    <w:p>
      <w:pPr>
        <w:spacing w:before="40" w:after="100"/>
      </w:pPr>
      <w:r>
        <w:rPr>
          <w:rFonts w:ascii="Arial" w:cs="Arial" w:eastAsia="Arial" w:hAnsi="Arial"/>
          <w:color w:val="595959"/>
          <w:sz w:val="16"/>
          <w:szCs w:val="16"/>
        </w:rPr>
        <w:t xml:space="preserve">Source: PALS AHA 2021 · APLS UK 2021 · Paediatric specific thresholds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7560"/>
      </w:tblGrid>
      <w:tr>
        <w:tc>
          <w:tcPr>
            <w:tcW w:type="dxa" w:w="16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Vital Sign</w:t>
            </w:r>
          </w:p>
        </w:tc>
        <w:tc>
          <w:tcPr>
            <w:tcW w:type="dxa" w:w="756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Expected Pattern &amp; Values</w:t>
            </w:r>
          </w:p>
        </w:tc>
      </w:tr>
      <w:tr>
        <w:tc>
          <w:tcPr>
            <w:tcW w:type="dxa" w:w="16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Heart Rate</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HR 120–180 BPM as compensatory response to hypoxia. In paediatrics: HR &gt;180 in infant or &gt;160 in child with SpO₂ drop = impending respiratory failure.</w:t>
            </w:r>
          </w:p>
        </w:tc>
      </w:tr>
      <w:tr>
        <w:tc>
          <w:tcPr>
            <w:tcW w:type="dxa" w:w="16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1F4E79"/>
                <w:sz w:val="18"/>
                <w:szCs w:val="18"/>
              </w:rPr>
              <w:t xml:space="preserve">SpO₂</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Dropping below 92% with high HR = respiratory distress. &lt;85% = respiratory failure. &lt;80% = impending arrest.</w:t>
            </w:r>
          </w:p>
        </w:tc>
      </w:tr>
      <w:tr>
        <w:tc>
          <w:tcPr>
            <w:tcW w:type="dxa" w:w="16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Temperature</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Variable. May be febrile if infection-driven, or normal if mechanical/anatomical cause.</w:t>
            </w:r>
          </w:p>
        </w:tc>
      </w:tr>
      <w:tr>
        <w:tc>
          <w:tcPr>
            <w:tcW w:type="dxa" w:w="16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bCs/>
                <w:color w:val="1F4E79"/>
                <w:sz w:val="18"/>
                <w:szCs w:val="18"/>
              </w:rPr>
              <w:t xml:space="preserve">AI Pattern</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E4620"/>
                <w:sz w:val="18"/>
                <w:szCs w:val="18"/>
              </w:rPr>
              <w:t xml:space="preserve">Combination of maximum age-adjusted HR + falling SpO₂. The simultaneous occurrence of tachycardia AND SpO₂ &lt;92% is the core pattern. In paediatrics, this pattern is more acute than in adults.</w:t>
            </w:r>
          </w:p>
        </w:tc>
      </w:tr>
      <w:tr>
        <w:tc>
          <w:tcPr>
            <w:tcW w:type="dxa" w:w="16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tcPr>
          <w:p>
            <w:pPr>
              <w:jc w:val="left"/>
            </w:pPr>
            <w:r>
              <w:rPr>
                <w:rFonts w:ascii="Arial" w:cs="Arial" w:eastAsia="Arial" w:hAnsi="Arial"/>
                <w:b/>
                <w:bCs/>
                <w:color w:val="1F4E79"/>
                <w:sz w:val="18"/>
                <w:szCs w:val="18"/>
              </w:rPr>
              <w:t xml:space="preserve">Alert Rule</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C00000"/>
                <w:sz w:val="18"/>
                <w:szCs w:val="18"/>
              </w:rPr>
              <w:t xml:space="preserve">PAEDIATRIC CRITICAL: SpO₂ &lt;92% + HR at upper age limit → Immediate intervention. Do not wait for further deterioration.</w:t>
            </w:r>
          </w:p>
        </w:tc>
      </w:tr>
    </w:tbl>
    <w:p>
      <w:pPr>
        <w:spacing w:before="60" w:after="60"/>
      </w:pPr>
      <w:r>
        <w:rPr>
          <w:rFonts w:ascii="Arial" w:cs="Arial" w:eastAsia="Arial" w:hAnsi="Arial"/>
          <w:b w:val="false"/>
          <w:bCs w:val="false"/>
          <w:color w:val="000000"/>
          <w:sz w:val="20"/>
          <w:szCs w:val="20"/>
        </w:rPr>
        <w:t xml:space="preserve"/>
      </w:r>
    </w:p>
    <w:p>
      <w:pPr>
        <w:pStyle w:val="Heading2"/>
        <w:spacing w:before="280" w:after="80"/>
      </w:pPr>
      <w:r>
        <w:rPr>
          <w:rFonts w:ascii="Arial" w:cs="Arial" w:eastAsia="Arial" w:hAnsi="Arial"/>
          <w:b/>
          <w:bCs/>
          <w:color w:val="2E75B6"/>
          <w:sz w:val="28"/>
          <w:szCs w:val="28"/>
        </w:rPr>
        <w:t xml:space="preserve">4.9 Hypertension Crisis</w:t>
      </w:r>
    </w:p>
    <w:p>
      <w:pPr>
        <w:spacing w:before="40" w:after="100"/>
      </w:pPr>
      <w:r>
        <w:rPr>
          <w:rFonts w:ascii="Arial" w:cs="Arial" w:eastAsia="Arial" w:hAnsi="Arial"/>
          <w:color w:val="595959"/>
          <w:sz w:val="16"/>
          <w:szCs w:val="16"/>
        </w:rPr>
        <w:t xml:space="preserve">Source: JNC-8 Guidelines · AHA/ACC Hypertension Guidelines 2022</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7560"/>
      </w:tblGrid>
      <w:tr>
        <w:tc>
          <w:tcPr>
            <w:tcW w:type="dxa" w:w="16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Vital Sign</w:t>
            </w:r>
          </w:p>
        </w:tc>
        <w:tc>
          <w:tcPr>
            <w:tcW w:type="dxa" w:w="756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Expected Pattern &amp; Values</w:t>
            </w:r>
          </w:p>
        </w:tc>
      </w:tr>
      <w:tr>
        <w:tc>
          <w:tcPr>
            <w:tcW w:type="dxa" w:w="16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Heart Rate</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Typically elevated 100–140 BPM. May be lower if patient is on beta-blockers (masked tachycardia). HR alone is not diagnostic.</w:t>
            </w:r>
          </w:p>
        </w:tc>
      </w:tr>
      <w:tr>
        <w:tc>
          <w:tcPr>
            <w:tcW w:type="dxa" w:w="16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1F4E79"/>
                <w:sz w:val="18"/>
                <w:szCs w:val="18"/>
              </w:rPr>
              <w:t xml:space="preserve">SpO₂</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Normal unless hypertensive emergency causes pulmonary oedema (SpO₂ drops to 88–94%) or stroke (no direct SpO₂ effect).</w:t>
            </w:r>
          </w:p>
        </w:tc>
      </w:tr>
      <w:tr>
        <w:tc>
          <w:tcPr>
            <w:tcW w:type="dxa" w:w="16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Temperature</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Normal or slightly elevated. Temperature is not a primary hypertension indicator.</w:t>
            </w:r>
          </w:p>
        </w:tc>
      </w:tr>
      <w:tr>
        <w:tc>
          <w:tcPr>
            <w:tcW w:type="dxa" w:w="16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bCs/>
                <w:color w:val="1F4E79"/>
                <w:sz w:val="18"/>
                <w:szCs w:val="18"/>
              </w:rPr>
              <w:t xml:space="preserve">AI Pattern</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E4620"/>
                <w:sz w:val="18"/>
                <w:szCs w:val="18"/>
              </w:rPr>
              <w:t xml:space="preserve">HR elevation alone without SpO₂ or Temp change. Without BP sensor, hypertension crisis is not directly detectable — flag as "possible" only if patient has known hypertension diagnosis AND shows unexplained tachycardia with no other cause.</w:t>
            </w:r>
          </w:p>
        </w:tc>
      </w:tr>
      <w:tr>
        <w:tc>
          <w:tcPr>
            <w:tcW w:type="dxa" w:w="16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left"/>
            </w:pPr>
            <w:r>
              <w:rPr>
                <w:rFonts w:ascii="Arial" w:cs="Arial" w:eastAsia="Arial" w:hAnsi="Arial"/>
                <w:b/>
                <w:bCs/>
                <w:color w:val="1F4E79"/>
                <w:sz w:val="18"/>
                <w:szCs w:val="18"/>
              </w:rPr>
              <w:t xml:space="preserve">Alert Rule</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C00000"/>
                <w:sz w:val="18"/>
                <w:szCs w:val="18"/>
              </w:rPr>
              <w:t xml:space="preserve">LIMITED DETECTION: Cannot confirm without BP. Flag tachycardia of unknown cause in hypertensive patient for clinical review.</w:t>
            </w:r>
          </w:p>
        </w:tc>
      </w:tr>
    </w:tbl>
    <w:p>
      <w:pPr>
        <w:spacing w:before="60" w:after="60"/>
      </w:pPr>
      <w:r>
        <w:rPr>
          <w:rFonts w:ascii="Arial" w:cs="Arial" w:eastAsia="Arial" w:hAnsi="Arial"/>
          <w:b w:val="false"/>
          <w:bCs w:val="false"/>
          <w:color w:val="000000"/>
          <w:sz w:val="20"/>
          <w:szCs w:val="20"/>
        </w:rPr>
        <w:t xml:space="preserve"/>
      </w:r>
    </w:p>
    <w:p>
      <w:pPr>
        <w:pStyle w:val="Heading2"/>
        <w:spacing w:before="280" w:after="80"/>
      </w:pPr>
      <w:r>
        <w:rPr>
          <w:rFonts w:ascii="Arial" w:cs="Arial" w:eastAsia="Arial" w:hAnsi="Arial"/>
          <w:b/>
          <w:bCs/>
          <w:color w:val="2E75B6"/>
          <w:sz w:val="28"/>
          <w:szCs w:val="28"/>
        </w:rPr>
        <w:t xml:space="preserve">4.10 Heart Failure</w:t>
      </w:r>
    </w:p>
    <w:p>
      <w:pPr>
        <w:spacing w:before="40" w:after="100"/>
      </w:pPr>
      <w:r>
        <w:rPr>
          <w:rFonts w:ascii="Arial" w:cs="Arial" w:eastAsia="Arial" w:hAnsi="Arial"/>
          <w:color w:val="595959"/>
          <w:sz w:val="16"/>
          <w:szCs w:val="16"/>
        </w:rPr>
        <w:t xml:space="preserve">Source: ESC Guidelines for Diagnosis and Treatment of Acute and Chronic Heart Failure 2021</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7560"/>
      </w:tblGrid>
      <w:tr>
        <w:tc>
          <w:tcPr>
            <w:tcW w:type="dxa" w:w="16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Vital Sign</w:t>
            </w:r>
          </w:p>
        </w:tc>
        <w:tc>
          <w:tcPr>
            <w:tcW w:type="dxa" w:w="756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Expected Pattern &amp; Values</w:t>
            </w:r>
          </w:p>
        </w:tc>
      </w:tr>
      <w:tr>
        <w:tc>
          <w:tcPr>
            <w:tcW w:type="dxa" w:w="16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Heart Rate</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Resting tachycardia 90–120 BPM is common in decompensated HF. Worsens with minimal exertion.</w:t>
            </w:r>
          </w:p>
        </w:tc>
      </w:tr>
      <w:tr>
        <w:tc>
          <w:tcPr>
            <w:tcW w:type="dxa" w:w="16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1F4E79"/>
                <w:sz w:val="18"/>
                <w:szCs w:val="18"/>
              </w:rPr>
              <w:t xml:space="preserve">SpO₂</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Chronically reduced 90–95%. Worsens lying flat (orthopnoea) — if device is wearable, positional SpO₂ change is diagnostic. Acute decompensation: SpO₂ &lt;88%.</w:t>
            </w:r>
          </w:p>
        </w:tc>
      </w:tr>
      <w:tr>
        <w:tc>
          <w:tcPr>
            <w:tcW w:type="dxa" w:w="16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Temperature</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Afebrile unless infective exacerbation of HF. Temperature rise in an HF patient suggests concurrent infection.</w:t>
            </w:r>
          </w:p>
        </w:tc>
      </w:tr>
      <w:tr>
        <w:tc>
          <w:tcPr>
            <w:tcW w:type="dxa" w:w="16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bCs/>
                <w:color w:val="1F4E79"/>
                <w:sz w:val="18"/>
                <w:szCs w:val="18"/>
              </w:rPr>
              <w:t xml:space="preserve">AI Pattern</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E4620"/>
                <w:sz w:val="18"/>
                <w:szCs w:val="18"/>
              </w:rPr>
              <w:t xml:space="preserve">Persistent low-grade SpO₂ (90–95%) + resting tachycardia + gradual deterioration over hours-days. Acute SpO₂ drop (&lt;88%) + HR &gt;110 = acute decompensation.</w:t>
            </w:r>
          </w:p>
        </w:tc>
      </w:tr>
      <w:tr>
        <w:tc>
          <w:tcPr>
            <w:tcW w:type="dxa" w:w="16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left"/>
            </w:pPr>
            <w:r>
              <w:rPr>
                <w:rFonts w:ascii="Arial" w:cs="Arial" w:eastAsia="Arial" w:hAnsi="Arial"/>
                <w:b/>
                <w:bCs/>
                <w:color w:val="1F4E79"/>
                <w:sz w:val="18"/>
                <w:szCs w:val="18"/>
              </w:rPr>
              <w:t xml:space="preserve">Alert Rule</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C00000"/>
                <w:sz w:val="18"/>
                <w:szCs w:val="18"/>
              </w:rPr>
              <w:t xml:space="preserve">SpO₂ &lt;90% in known HF patient → Acute decompensation. Urgent review required.</w:t>
            </w:r>
          </w:p>
        </w:tc>
      </w:tr>
    </w:tbl>
    <w:p>
      <w:pPr>
        <w:spacing w:before="60" w:after="60"/>
      </w:pPr>
      <w:r>
        <w:rPr>
          <w:rFonts w:ascii="Arial" w:cs="Arial" w:eastAsia="Arial" w:hAnsi="Arial"/>
          <w:b w:val="false"/>
          <w:bCs w:val="false"/>
          <w:color w:val="000000"/>
          <w:sz w:val="20"/>
          <w:szCs w:val="20"/>
        </w:rPr>
        <w:t xml:space="preserve"/>
      </w:r>
    </w:p>
    <w:p>
      <w:r>
        <w:br w:type="page"/>
      </w:r>
    </w:p>
    <w:p>
      <w:pPr>
        <w:pStyle w:val="Heading1"/>
        <w:spacing w:before="360" w:after="120"/>
      </w:pPr>
      <w:r>
        <w:rPr>
          <w:rFonts w:ascii="Arial" w:cs="Arial" w:eastAsia="Arial" w:hAnsi="Arial"/>
          <w:b/>
          <w:bCs/>
          <w:color w:val="1F4E79"/>
          <w:sz w:val="36"/>
          <w:szCs w:val="36"/>
        </w:rPr>
        <w:t xml:space="preserve">SECTION 5: TEMPORAL DETERIORATION PATTERNS</w:t>
      </w:r>
    </w:p>
    <w:p>
      <w:pPr>
        <w:spacing w:before="60" w:after="60"/>
      </w:pPr>
      <w:r>
        <w:rPr>
          <w:rFonts w:ascii="Arial" w:cs="Arial" w:eastAsia="Arial" w:hAnsi="Arial"/>
          <w:b w:val="false"/>
          <w:bCs w:val="false"/>
          <w:color w:val="000000"/>
          <w:sz w:val="20"/>
          <w:szCs w:val="20"/>
        </w:rPr>
        <w:t xml:space="preserve">The AI model must be trained on temporal sequences, not single readings. The following patterns describe how vitals evolve over time before a clinical event. All time windows are approximate and individual variation is significant.</w:t>
      </w:r>
    </w:p>
    <w:p>
      <w:pPr>
        <w:spacing w:before="40" w:after="100"/>
      </w:pPr>
      <w:r>
        <w:rPr>
          <w:rFonts w:ascii="Arial" w:cs="Arial" w:eastAsia="Arial" w:hAnsi="Arial"/>
          <w:color w:val="595959"/>
          <w:sz w:val="16"/>
          <w:szCs w:val="16"/>
        </w:rPr>
        <w:t xml:space="preserve">Source: Churpek et al., Chest 2016 · Tarassenko et al., Resuscitation 2006 · McGaughey et al., Cochrane 2017</w:t>
      </w:r>
    </w:p>
    <w:p>
      <w:pPr>
        <w:pStyle w:val="Heading2"/>
        <w:spacing w:before="280" w:after="80"/>
      </w:pPr>
      <w:r>
        <w:rPr>
          <w:rFonts w:ascii="Arial" w:cs="Arial" w:eastAsia="Arial" w:hAnsi="Arial"/>
          <w:b/>
          <w:bCs/>
          <w:color w:val="2E75B6"/>
          <w:sz w:val="28"/>
          <w:szCs w:val="28"/>
        </w:rPr>
        <w:t xml:space="preserve">5.1 Pre-Deterioration Vital Sign Trajectories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600"/>
        <w:gridCol w:w="3960"/>
      </w:tblGrid>
      <w:tr>
        <w:tc>
          <w:tcPr>
            <w:tcW w:type="dxa" w:w="1800"/>
            <w:gridSpan w:val="1"/>
            <w:tcBorders>
              <w:top w:val="single" w:color="BBBBBB" w:sz="1"/>
              <w:left w:val="single" w:color="BBBBBB" w:sz="1"/>
              <w:bottom w:val="single" w:color="BBBBBB" w:sz="1"/>
              <w:right w:val="single" w:color="BBBBBB" w:sz="1"/>
            </w:tcBorders>
            <w:shd w:fill="3D1C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Time Before Event</w:t>
            </w:r>
          </w:p>
        </w:tc>
        <w:tc>
          <w:tcPr>
            <w:tcW w:type="dxa" w:w="1400"/>
            <w:gridSpan w:val="1"/>
            <w:tcBorders>
              <w:top w:val="single" w:color="BBBBBB" w:sz="1"/>
              <w:left w:val="single" w:color="BBBBBB" w:sz="1"/>
              <w:bottom w:val="single" w:color="BBBBBB" w:sz="1"/>
              <w:right w:val="single" w:color="BBBBBB" w:sz="1"/>
            </w:tcBorders>
            <w:shd w:fill="3D1C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HR Trend</w:t>
            </w:r>
          </w:p>
        </w:tc>
        <w:tc>
          <w:tcPr>
            <w:tcW w:type="dxa" w:w="1400"/>
            <w:gridSpan w:val="1"/>
            <w:tcBorders>
              <w:top w:val="single" w:color="BBBBBB" w:sz="1"/>
              <w:left w:val="single" w:color="BBBBBB" w:sz="1"/>
              <w:bottom w:val="single" w:color="BBBBBB" w:sz="1"/>
              <w:right w:val="single" w:color="BBBBBB" w:sz="1"/>
            </w:tcBorders>
            <w:shd w:fill="3D1C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SpO₂ Trend</w:t>
            </w:r>
          </w:p>
        </w:tc>
        <w:tc>
          <w:tcPr>
            <w:tcW w:type="dxa" w:w="1600"/>
            <w:gridSpan w:val="1"/>
            <w:tcBorders>
              <w:top w:val="single" w:color="BBBBBB" w:sz="1"/>
              <w:left w:val="single" w:color="BBBBBB" w:sz="1"/>
              <w:bottom w:val="single" w:color="BBBBBB" w:sz="1"/>
              <w:right w:val="single" w:color="BBBBBB" w:sz="1"/>
            </w:tcBorders>
            <w:shd w:fill="3D1C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Temp Trend</w:t>
            </w:r>
          </w:p>
        </w:tc>
        <w:tc>
          <w:tcPr>
            <w:tcW w:type="dxa" w:w="3960"/>
            <w:gridSpan w:val="1"/>
            <w:tcBorders>
              <w:top w:val="single" w:color="BBBBBB" w:sz="1"/>
              <w:left w:val="single" w:color="BBBBBB" w:sz="1"/>
              <w:bottom w:val="single" w:color="BBBBBB" w:sz="1"/>
              <w:right w:val="single" w:color="BBBBBB" w:sz="1"/>
            </w:tcBorders>
            <w:shd w:fill="3D1C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Clinical Significance</w:t>
            </w:r>
          </w:p>
        </w:tc>
      </w:tr>
      <w:tr>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T-60 min</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Normal or slight ↑</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Normal</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May start rising</w:t>
            </w:r>
          </w:p>
        </w:tc>
        <w:tc>
          <w:tcPr>
            <w:tcW w:type="dxa" w:w="39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Subclinical deterioration begins. Temp rise often the first detectable sign.</w:t>
            </w:r>
          </w:p>
        </w:tc>
      </w:tr>
      <w:tr>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T-30 min</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 10–20% above baseline</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 1–2%</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Rising or peaked</w:t>
            </w:r>
          </w:p>
        </w:tc>
        <w:tc>
          <w:tcPr>
            <w:tcW w:type="dxa" w:w="39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Window where early warning systems should trigger. Ideal intervention point.</w:t>
            </w:r>
          </w:p>
        </w:tc>
      </w:tr>
      <w:tr>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T-15 min</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 20–30% above baseline</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 2–5%</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Peaked or declining</w:t>
            </w:r>
          </w:p>
        </w:tc>
        <w:tc>
          <w:tcPr>
            <w:tcW w:type="dxa" w:w="39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Clear deterioration. NEWS2 score typically 4–6. Urgent review indicated.</w:t>
            </w:r>
          </w:p>
        </w:tc>
      </w:tr>
      <w:tr>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C00000"/>
                <w:sz w:val="18"/>
                <w:szCs w:val="18"/>
              </w:rPr>
              <w:t xml:space="preserve">T-0 (Event)</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Tachycardia or bradycardia (terminal)</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Below threshold</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Variable</w:t>
            </w:r>
          </w:p>
        </w:tc>
        <w:tc>
          <w:tcPr>
            <w:tcW w:type="dxa" w:w="39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C00000"/>
                <w:sz w:val="18"/>
                <w:szCs w:val="18"/>
              </w:rPr>
              <w:t xml:space="preserve">Clinical event. NEWS2 ≥7. Emergency response required.</w:t>
            </w:r>
          </w:p>
        </w:tc>
      </w:tr>
    </w:tbl>
    <w:p>
      <w:pPr>
        <w:spacing w:before="60" w:after="60"/>
      </w:pPr>
      <w:r>
        <w:rPr>
          <w:rFonts w:ascii="Arial" w:cs="Arial" w:eastAsia="Arial" w:hAnsi="Arial"/>
          <w:b w:val="false"/>
          <w:bCs w:val="false"/>
          <w:color w:val="000000"/>
          <w:sz w:val="20"/>
          <w:szCs w:val="20"/>
        </w:rPr>
        <w:t xml:space="preserve"/>
      </w:r>
    </w:p>
    <w:p>
      <w:pPr>
        <w:pStyle w:val="Heading2"/>
        <w:spacing w:before="280" w:after="80"/>
      </w:pPr>
      <w:r>
        <w:rPr>
          <w:rFonts w:ascii="Arial" w:cs="Arial" w:eastAsia="Arial" w:hAnsi="Arial"/>
          <w:b/>
          <w:bCs/>
          <w:color w:val="2E75B6"/>
          <w:sz w:val="28"/>
          <w:szCs w:val="28"/>
        </w:rPr>
        <w:t xml:space="preserve">5.2 Vital Sign Relationship Rules for AI Training</w:t>
      </w:r>
    </w:p>
    <w:p>
      <w:pPr>
        <w:spacing w:before="60" w:after="60"/>
      </w:pPr>
      <w:r>
        <w:rPr>
          <w:rFonts w:ascii="Arial" w:cs="Arial" w:eastAsia="Arial" w:hAnsi="Arial"/>
          <w:b w:val="false"/>
          <w:bCs w:val="false"/>
          <w:color w:val="000000"/>
          <w:sz w:val="20"/>
          <w:szCs w:val="20"/>
        </w:rPr>
        <w:t xml:space="preserve">These inter-vital relationships encode clinical logic that single-parameter thresholds cannot capture: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860"/>
      </w:tblGrid>
      <w:tr>
        <w:tc>
          <w:tcPr>
            <w:tcW w:type="dxa" w:w="9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Rule</w:t>
            </w:r>
          </w:p>
        </w:tc>
        <w:tc>
          <w:tcPr>
            <w:tcW w:type="dxa" w:w="24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Pattern</w:t>
            </w:r>
          </w:p>
        </w:tc>
        <w:tc>
          <w:tcPr>
            <w:tcW w:type="dxa" w:w="586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Clinical Interpretation</w:t>
            </w:r>
          </w:p>
        </w:tc>
      </w:tr>
      <w:tr>
        <w:tc>
          <w:tcPr>
            <w:tcW w:type="dxa" w:w="9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Rule 1</w:t>
            </w:r>
          </w:p>
        </w:tc>
        <w:tc>
          <w:tcPr>
            <w:tcW w:type="dxa" w:w="24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HR rising + SpO₂ falling simultaneously</w:t>
            </w:r>
          </w:p>
        </w:tc>
        <w:tc>
          <w:tcPr>
            <w:tcW w:type="dxa" w:w="586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Respiratory deterioration. More urgent than either sign alone. Likely hypoxia-driven tachycardia.</w:t>
            </w:r>
          </w:p>
        </w:tc>
      </w:tr>
      <w:tr>
        <w:tc>
          <w:tcPr>
            <w:tcW w:type="dxa" w:w="9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Rule 2</w:t>
            </w:r>
          </w:p>
        </w:tc>
        <w:tc>
          <w:tcPr>
            <w:tcW w:type="dxa" w:w="24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HR rising + Temp rising simultaneously</w:t>
            </w:r>
          </w:p>
        </w:tc>
        <w:tc>
          <w:tcPr>
            <w:tcW w:type="dxa" w:w="586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Infection/sepsis developing. If both rise &gt;10% from baseline within 30 min: sepsis screen positive.</w:t>
            </w:r>
          </w:p>
        </w:tc>
      </w:tr>
      <w:tr>
        <w:tc>
          <w:tcPr>
            <w:tcW w:type="dxa" w:w="9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Rule 3</w:t>
            </w:r>
          </w:p>
        </w:tc>
        <w:tc>
          <w:tcPr>
            <w:tcW w:type="dxa" w:w="24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HR falling + SpO₂ falling simultaneously</w:t>
            </w:r>
          </w:p>
        </w:tc>
        <w:tc>
          <w:tcPr>
            <w:tcW w:type="dxa" w:w="586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CRITICAL — cardiovascular collapse or severe hypoxia. This combination = emergency.</w:t>
            </w:r>
          </w:p>
        </w:tc>
      </w:tr>
      <w:tr>
        <w:tc>
          <w:tcPr>
            <w:tcW w:type="dxa" w:w="9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Rule 4</w:t>
            </w:r>
          </w:p>
        </w:tc>
        <w:tc>
          <w:tcPr>
            <w:tcW w:type="dxa" w:w="24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SpO₂ falling + Temp normal</w:t>
            </w:r>
          </w:p>
        </w:tc>
        <w:tc>
          <w:tcPr>
            <w:tcW w:type="dxa" w:w="586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Mechanical hypoxia (airway, PE, pneumothorax). Not infection. Different management pathway.</w:t>
            </w:r>
          </w:p>
        </w:tc>
      </w:tr>
      <w:tr>
        <w:tc>
          <w:tcPr>
            <w:tcW w:type="dxa" w:w="9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Rule 5</w:t>
            </w:r>
          </w:p>
        </w:tc>
        <w:tc>
          <w:tcPr>
            <w:tcW w:type="dxa" w:w="24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HR proportional to Temp rise (~10 BPM per 1°C)</w:t>
            </w:r>
          </w:p>
        </w:tc>
        <w:tc>
          <w:tcPr>
            <w:tcW w:type="dxa" w:w="586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Expected fever response. Not an emergency finding if SpO₂ is maintained.</w:t>
            </w:r>
          </w:p>
        </w:tc>
      </w:tr>
      <w:tr>
        <w:tc>
          <w:tcPr>
            <w:tcW w:type="dxa" w:w="9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Rule 6</w:t>
            </w:r>
          </w:p>
        </w:tc>
        <w:tc>
          <w:tcPr>
            <w:tcW w:type="dxa" w:w="24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HR elevated + Temp normal + SpO₂ normal</w:t>
            </w:r>
          </w:p>
        </w:tc>
        <w:tc>
          <w:tcPr>
            <w:tcW w:type="dxa" w:w="586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Could be anxiety, pain, dehydration, exertion. Low acuity if all three within tolerable range.</w:t>
            </w:r>
          </w:p>
        </w:tc>
      </w:tr>
      <w:tr>
        <w:tc>
          <w:tcPr>
            <w:tcW w:type="dxa" w:w="9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Rule 7</w:t>
            </w:r>
          </w:p>
        </w:tc>
        <w:tc>
          <w:tcPr>
            <w:tcW w:type="dxa" w:w="24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HRV (SDNN) collapsing + SpO₂ dropping</w:t>
            </w:r>
          </w:p>
        </w:tc>
        <w:tc>
          <w:tcPr>
            <w:tcW w:type="dxa" w:w="586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Cardiac involvement. Reduced HRV with SpO₂ drop suggests cardiac-respiratory coupling failure.</w:t>
            </w:r>
          </w:p>
        </w:tc>
      </w:tr>
      <w:tr>
        <w:tc>
          <w:tcPr>
            <w:tcW w:type="dxa" w:w="9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Rule 8</w:t>
            </w:r>
          </w:p>
        </w:tc>
        <w:tc>
          <w:tcPr>
            <w:tcW w:type="dxa" w:w="24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Temp &gt;38.3°C + HR &gt;90 (SIRS criteria met)</w:t>
            </w:r>
          </w:p>
        </w:tc>
        <w:tc>
          <w:tcPr>
            <w:tcW w:type="dxa" w:w="586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Sepsis screening positive. Mandatory clinical review. Do not dismiss even if SpO₂ normal.</w:t>
            </w:r>
          </w:p>
        </w:tc>
      </w:tr>
      <w:tr>
        <w:tc>
          <w:tcPr>
            <w:tcW w:type="dxa" w:w="9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Rule 9</w:t>
            </w:r>
          </w:p>
        </w:tc>
        <w:tc>
          <w:tcPr>
            <w:tcW w:type="dxa" w:w="24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000000"/>
                <w:sz w:val="18"/>
                <w:szCs w:val="18"/>
              </w:rPr>
              <w:t xml:space="preserve">All three vitals deteriorating simultaneously</w:t>
            </w:r>
          </w:p>
        </w:tc>
        <w:tc>
          <w:tcPr>
            <w:tcW w:type="dxa" w:w="586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Multi-organ involvement. Highest acuity classification. Immediate emergency response.</w:t>
            </w:r>
          </w:p>
        </w:tc>
      </w:tr>
      <w:tr>
        <w:tc>
          <w:tcPr>
            <w:tcW w:type="dxa" w:w="9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Rule 10</w:t>
            </w:r>
          </w:p>
        </w:tc>
        <w:tc>
          <w:tcPr>
            <w:tcW w:type="dxa" w:w="24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Rapid SpO₂ drop (&gt;3% in &lt;5 min)</w:t>
            </w:r>
          </w:p>
        </w:tc>
        <w:tc>
          <w:tcPr>
            <w:tcW w:type="dxa" w:w="586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Acute event — not gradual deterioration. Possible airway obstruction, acute bronchospasm, or PE.</w:t>
            </w:r>
          </w:p>
        </w:tc>
      </w:tr>
    </w:tbl>
    <w:p>
      <w:r>
        <w:br w:type="page"/>
      </w:r>
    </w:p>
    <w:p>
      <w:pPr>
        <w:pStyle w:val="Heading1"/>
        <w:spacing w:before="360" w:after="120"/>
      </w:pPr>
      <w:r>
        <w:rPr>
          <w:rFonts w:ascii="Arial" w:cs="Arial" w:eastAsia="Arial" w:hAnsi="Arial"/>
          <w:b/>
          <w:bCs/>
          <w:color w:val="1F4E79"/>
          <w:sz w:val="36"/>
          <w:szCs w:val="36"/>
        </w:rPr>
        <w:t xml:space="preserve">SECTION 6: SIRS CRITERIA AND SEPSIS SCREENING</w:t>
      </w:r>
    </w:p>
    <w:p>
      <w:pPr>
        <w:spacing w:before="40" w:after="100"/>
      </w:pPr>
      <w:r>
        <w:rPr>
          <w:rFonts w:ascii="Arial" w:cs="Arial" w:eastAsia="Arial" w:hAnsi="Arial"/>
          <w:color w:val="595959"/>
          <w:sz w:val="16"/>
          <w:szCs w:val="16"/>
        </w:rPr>
        <w:t xml:space="preserve">Source: Singer M, et al. The Third International Consensus Definitions for Sepsis and Septic Shock (Sepsis-3). JAMA. 2016;315(8):801-810</w:t>
      </w:r>
    </w:p>
    <w:p>
      <w:pPr>
        <w:spacing w:before="60" w:after="60"/>
      </w:pPr>
      <w:r>
        <w:rPr>
          <w:rFonts w:ascii="Arial" w:cs="Arial" w:eastAsia="Arial" w:hAnsi="Arial"/>
          <w:b w:val="false"/>
          <w:bCs w:val="false"/>
          <w:color w:val="000000"/>
          <w:sz w:val="20"/>
          <w:szCs w:val="20"/>
        </w:rPr>
        <w:t xml:space="preserve">Full SIRS (Systemic Inflammatory Response Syndrome) requires 2 or more of the following 4 criteria. With only 3 sensors, only 2 of 4 can be assessed: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200"/>
        <w:gridCol w:w="4160"/>
      </w:tblGrid>
      <w:tr>
        <w:tc>
          <w:tcPr>
            <w:tcW w:type="dxa" w:w="4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
            </w:r>
          </w:p>
        </w:tc>
        <w:tc>
          <w:tcPr>
            <w:tcW w:type="dxa" w:w="24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Full SIRS Criterion</w:t>
            </w:r>
          </w:p>
        </w:tc>
        <w:tc>
          <w:tcPr>
            <w:tcW w:type="dxa" w:w="22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Your Sensor Availability</w:t>
            </w:r>
          </w:p>
        </w:tc>
        <w:tc>
          <w:tcPr>
            <w:tcW w:type="dxa" w:w="416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Implementation</w:t>
            </w:r>
          </w:p>
        </w:tc>
      </w:tr>
      <w:tr>
        <w:tc>
          <w:tcPr>
            <w:tcW w:type="dxa" w:w="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1</w:t>
            </w:r>
          </w:p>
        </w:tc>
        <w:tc>
          <w:tcPr>
            <w:tcW w:type="dxa" w:w="2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Temperature &gt;38.3°C or &lt;36.0°C</w:t>
            </w:r>
          </w:p>
        </w:tc>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375623"/>
                <w:sz w:val="18"/>
                <w:szCs w:val="18"/>
              </w:rPr>
              <w:t xml:space="preserve">LM35 — AVAILABLE</w:t>
            </w:r>
          </w:p>
        </w:tc>
        <w:tc>
          <w:tcPr>
            <w:tcW w:type="dxa" w:w="41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Direct measurement after calibration offset applied</w:t>
            </w:r>
          </w:p>
        </w:tc>
      </w:tr>
      <w:tr>
        <w:tc>
          <w:tcPr>
            <w:tcW w:type="dxa" w:w="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2</w:t>
            </w:r>
          </w:p>
        </w:tc>
        <w:tc>
          <w:tcPr>
            <w:tcW w:type="dxa" w:w="2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Heart Rate &gt;90 BPM</w:t>
            </w:r>
          </w:p>
        </w:tc>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375623"/>
                <w:sz w:val="18"/>
                <w:szCs w:val="18"/>
              </w:rPr>
              <w:t xml:space="preserve">MAX30102 — AVAILABLE</w:t>
            </w:r>
          </w:p>
        </w:tc>
        <w:tc>
          <w:tcPr>
            <w:tcW w:type="dxa" w:w="41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Direct measurement. Age-adjust: use age-specific upper normal as threshold</w:t>
            </w:r>
          </w:p>
        </w:tc>
      </w:tr>
      <w:tr>
        <w:tc>
          <w:tcPr>
            <w:tcW w:type="dxa" w:w="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3</w:t>
            </w:r>
          </w:p>
        </w:tc>
        <w:tc>
          <w:tcPr>
            <w:tcW w:type="dxa" w:w="2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Respiratory Rate &gt;20 breaths/min</w:t>
            </w:r>
          </w:p>
        </w:tc>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C00000"/>
                <w:sz w:val="18"/>
                <w:szCs w:val="18"/>
              </w:rPr>
              <w:t xml:space="preserve">NOT AVAILABLE</w:t>
            </w:r>
          </w:p>
        </w:tc>
        <w:tc>
          <w:tcPr>
            <w:tcW w:type="dxa" w:w="41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Cannot measure without PPG waveform or dedicated RR sensor. Omit from score.</w:t>
            </w:r>
          </w:p>
        </w:tc>
      </w:tr>
      <w:tr>
        <w:tc>
          <w:tcPr>
            <w:tcW w:type="dxa" w:w="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4</w:t>
            </w:r>
          </w:p>
        </w:tc>
        <w:tc>
          <w:tcPr>
            <w:tcW w:type="dxa" w:w="2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WBC &gt;12,000 or &lt;4,000 cells/mm³</w:t>
            </w:r>
          </w:p>
        </w:tc>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C00000"/>
                <w:sz w:val="18"/>
                <w:szCs w:val="18"/>
              </w:rPr>
              <w:t xml:space="preserve">NOT AVAILABLE</w:t>
            </w:r>
          </w:p>
        </w:tc>
        <w:tc>
          <w:tcPr>
            <w:tcW w:type="dxa" w:w="41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Requires blood test. Cannot be estimated from wearable sensors.</w:t>
            </w:r>
          </w:p>
        </w:tc>
      </w:tr>
    </w:tbl>
    <w:p>
      <w:pPr>
        <w:spacing w:before="60" w:after="60"/>
      </w:pPr>
      <w:r>
        <w:rPr>
          <w:rFonts w:ascii="Arial" w:cs="Arial" w:eastAsia="Arial" w:hAnsi="Arial"/>
          <w:b w:val="false"/>
          <w:bCs w:val="false"/>
          <w:color w:val="000000"/>
          <w:sz w:val="20"/>
          <w:szCs w:val="20"/>
        </w:rPr>
        <w:t xml:space="preserve"/>
      </w:r>
    </w:p>
    <w:p>
      <w:pPr>
        <w:pStyle w:val="Heading2"/>
        <w:spacing w:before="280" w:after="80"/>
      </w:pPr>
      <w:r>
        <w:rPr>
          <w:rFonts w:ascii="Arial" w:cs="Arial" w:eastAsia="Arial" w:hAnsi="Arial"/>
          <w:b/>
          <w:bCs/>
          <w:color w:val="2E75B6"/>
          <w:sz w:val="28"/>
          <w:szCs w:val="28"/>
        </w:rPr>
        <w:t xml:space="preserve">3-Sensor Sepsis Screening Rule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7560"/>
      </w:tblGrid>
      <w:tr>
        <w:tc>
          <w:tcPr>
            <w:tcW w:type="dxa" w:w="1600"/>
            <w:gridSpan w:val="1"/>
            <w:tcBorders>
              <w:top w:val="single" w:color="BBBBBB" w:sz="1"/>
              <w:left w:val="single" w:color="BBBBBB" w:sz="1"/>
              <w:bottom w:val="single" w:color="BBBBBB" w:sz="1"/>
              <w:right w:val="single" w:color="BBBBBB" w:sz="1"/>
            </w:tcBorders>
            <w:shd w:fill="7B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Trigger Condition</w:t>
            </w:r>
          </w:p>
        </w:tc>
        <w:tc>
          <w:tcPr>
            <w:tcW w:type="dxa" w:w="7560"/>
            <w:gridSpan w:val="1"/>
            <w:tcBorders>
              <w:top w:val="single" w:color="BBBBBB" w:sz="1"/>
              <w:left w:val="single" w:color="BBBBBB" w:sz="1"/>
              <w:bottom w:val="single" w:color="BBBBBB" w:sz="1"/>
              <w:right w:val="single" w:color="BBBBBB" w:sz="1"/>
            </w:tcBorders>
            <w:shd w:fill="7B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Definition (3-sensor implementation)</w:t>
            </w:r>
          </w:p>
        </w:tc>
      </w:tr>
      <w:tr>
        <w:tc>
          <w:tcPr>
            <w:tcW w:type="dxa" w:w="16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tcPr>
          <w:p>
            <w:pPr>
              <w:jc w:val="left"/>
            </w:pPr>
            <w:r>
              <w:rPr>
                <w:rFonts w:ascii="Arial" w:cs="Arial" w:eastAsia="Arial" w:hAnsi="Arial"/>
                <w:b/>
                <w:bCs/>
                <w:color w:val="1F4E79"/>
                <w:sz w:val="18"/>
                <w:szCs w:val="18"/>
              </w:rPr>
              <w:t xml:space="preserve">Sepsis Screen POSITIVE</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HR &gt; age-adjusted upper normal (see Section 1) AND Temp &gt; 38.3°C or &lt; 36.0°C — both criteria met simultaneously for ≥2 consecutive readings (≥10 minutes). Output: "Sepsis screening positive — clinical review required." Do NOT output "sepsis diagnosis."</w:t>
            </w:r>
          </w:p>
        </w:tc>
      </w:tr>
      <w:tr>
        <w:tc>
          <w:tcPr>
            <w:tcW w:type="dxa" w:w="16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bCs/>
                <w:color w:val="1F4E79"/>
                <w:sz w:val="18"/>
                <w:szCs w:val="18"/>
              </w:rPr>
              <w:t xml:space="preserve">Sepsis Screen NEGATIVE</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Either HR or Temp criterion not met. Continue monitoring. If only one criterion met, flag as "single SIRS criterion — monitor closely."</w:t>
            </w:r>
          </w:p>
        </w:tc>
      </w:tr>
      <w:tr>
        <w:tc>
          <w:tcPr>
            <w:tcW w:type="dxa" w:w="16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left"/>
            </w:pPr>
            <w:r>
              <w:rPr>
                <w:rFonts w:ascii="Arial" w:cs="Arial" w:eastAsia="Arial" w:hAnsi="Arial"/>
                <w:b/>
                <w:bCs/>
                <w:color w:val="1F4E79"/>
                <w:sz w:val="18"/>
                <w:szCs w:val="18"/>
              </w:rPr>
              <w:t xml:space="preserve">Important Limitation</w:t>
            </w:r>
          </w:p>
        </w:tc>
        <w:tc>
          <w:tcPr>
            <w:tcW w:type="dxa" w:w="7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This 2-of-2 available criterion screen has lower specificity than full SIRS. Expect higher false positive rate. All positive screens must be verified by clinical assessment. The output is a screening alert, not a diagnosis.</w:t>
            </w:r>
          </w:p>
        </w:tc>
      </w:tr>
    </w:tbl>
    <w:p>
      <w:r>
        <w:br w:type="page"/>
      </w:r>
    </w:p>
    <w:p>
      <w:pPr>
        <w:pStyle w:val="Heading1"/>
        <w:spacing w:before="360" w:after="120"/>
      </w:pPr>
      <w:r>
        <w:rPr>
          <w:rFonts w:ascii="Arial" w:cs="Arial" w:eastAsia="Arial" w:hAnsi="Arial"/>
          <w:b/>
          <w:bCs/>
          <w:color w:val="1F4E79"/>
          <w:sz w:val="36"/>
          <w:szCs w:val="36"/>
        </w:rPr>
        <w:t xml:space="preserve">SECTION 7: PAEDIATRIC-SPECIFIC CRITICAL THRESHOLDS</w:t>
      </w:r>
    </w:p>
    <w:p>
      <w:pPr>
        <w:spacing w:before="60" w:after="60"/>
      </w:pPr>
      <w:r>
        <w:rPr>
          <w:rFonts w:ascii="Arial" w:cs="Arial" w:eastAsia="Arial" w:hAnsi="Arial"/>
          <w:b w:val="false"/>
          <w:bCs w:val="false"/>
          <w:color w:val="000000"/>
          <w:sz w:val="20"/>
          <w:szCs w:val="20"/>
        </w:rPr>
        <w:t xml:space="preserve">Paediatric patients require separate threshold logic. Adult thresholds must never be applied to patients under 18. The following are APLS/PALS validated critical thresholds by age group.</w:t>
      </w:r>
    </w:p>
    <w:p>
      <w:pPr>
        <w:spacing w:before="40" w:after="100"/>
      </w:pPr>
      <w:r>
        <w:rPr>
          <w:rFonts w:ascii="Arial" w:cs="Arial" w:eastAsia="Arial" w:hAnsi="Arial"/>
          <w:color w:val="595959"/>
          <w:sz w:val="16"/>
          <w:szCs w:val="16"/>
        </w:rPr>
        <w:t xml:space="preserve">Source: APLS UK Advanced Paediatric Life Support 8th Edition 2021 · AHA PALS Guidelines 2020 · RCPCH</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1400"/>
        <w:gridCol w:w="2960"/>
      </w:tblGrid>
      <w:tr>
        <w:tc>
          <w:tcPr>
            <w:tcW w:type="dxa" w:w="16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Age Group</w:t>
            </w:r>
          </w:p>
        </w:tc>
        <w:tc>
          <w:tcPr>
            <w:tcW w:type="dxa" w:w="14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Critical Bradycardia</w:t>
            </w:r>
          </w:p>
        </w:tc>
        <w:tc>
          <w:tcPr>
            <w:tcW w:type="dxa" w:w="14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Critical Tachycardia</w:t>
            </w:r>
          </w:p>
        </w:tc>
        <w:tc>
          <w:tcPr>
            <w:tcW w:type="dxa" w:w="14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SpO₂ Critical</w:t>
            </w:r>
          </w:p>
        </w:tc>
        <w:tc>
          <w:tcPr>
            <w:tcW w:type="dxa" w:w="14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Temp Critical High</w:t>
            </w:r>
          </w:p>
        </w:tc>
        <w:tc>
          <w:tcPr>
            <w:tcW w:type="dxa" w:w="296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Notes</w:t>
            </w:r>
          </w:p>
        </w:tc>
      </w:tr>
      <w:tr>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Neonate (0–28d)</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&lt;100 BPM</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&gt;180 BPM</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&lt;92%</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&gt;38.0°C</w:t>
            </w:r>
          </w:p>
        </w:tc>
        <w:tc>
          <w:tcPr>
            <w:tcW w:type="dxa" w:w="29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Any fever in neonate = emergency. Do not wait for HR/SpO₂ changes.</w:t>
            </w:r>
          </w:p>
        </w:tc>
      </w:tr>
      <w:tr>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Infant (1–12m)</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&lt;80 BPM</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&gt;180 BPM</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&lt;92%</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&gt;39.0°C</w:t>
            </w:r>
          </w:p>
        </w:tc>
        <w:tc>
          <w:tcPr>
            <w:tcW w:type="dxa" w:w="29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Fever &gt;39°C in infant under 3 months = emergency without exception.</w:t>
            </w:r>
          </w:p>
        </w:tc>
      </w:tr>
      <w:tr>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Toddler (1–3y)</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&lt;70 BPM</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&gt;160 BPM</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&lt;92%</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&gt;40.0°C</w:t>
            </w:r>
          </w:p>
        </w:tc>
        <w:tc>
          <w:tcPr>
            <w:tcW w:type="dxa" w:w="29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Febrile convulsion risk peaks at this age. Rapid temp rise is as important as absolute value.</w:t>
            </w:r>
          </w:p>
        </w:tc>
      </w:tr>
      <w:tr>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Preschool (3–5y)</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&lt;65 BPM</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&gt;150 BPM</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&lt;93%</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&gt;40.0°C</w:t>
            </w:r>
          </w:p>
        </w:tc>
        <w:tc>
          <w:tcPr>
            <w:tcW w:type="dxa" w:w="29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
            </w:r>
          </w:p>
        </w:tc>
      </w:tr>
      <w:tr>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School age (6–12y)</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&lt;60 BPM</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&gt;140 BPM</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&lt;93%</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&gt;40.0°C</w:t>
            </w:r>
          </w:p>
        </w:tc>
        <w:tc>
          <w:tcPr>
            <w:tcW w:type="dxa" w:w="29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Approach adult thresholds after age 10.</w:t>
            </w:r>
          </w:p>
        </w:tc>
      </w:tr>
    </w:tbl>
    <w:p>
      <w:r>
        <w:br w:type="page"/>
      </w:r>
    </w:p>
    <w:p>
      <w:pPr>
        <w:pStyle w:val="Heading1"/>
        <w:spacing w:before="360" w:after="120"/>
      </w:pPr>
      <w:r>
        <w:rPr>
          <w:rFonts w:ascii="Arial" w:cs="Arial" w:eastAsia="Arial" w:hAnsi="Arial"/>
          <w:b/>
          <w:bCs/>
          <w:color w:val="1F4E79"/>
          <w:sz w:val="36"/>
          <w:szCs w:val="36"/>
        </w:rPr>
        <w:t xml:space="preserve">SECTION 8: DERIVED PARAMETERS — FORMULAS AND VALID RANGES</w:t>
      </w:r>
    </w:p>
    <w:p>
      <w:pPr>
        <w:spacing w:before="60" w:after="60"/>
      </w:pPr>
      <w:r>
        <w:rPr>
          <w:rFonts w:ascii="Arial" w:cs="Arial" w:eastAsia="Arial" w:hAnsi="Arial"/>
          <w:b w:val="false"/>
          <w:bCs w:val="false"/>
          <w:color w:val="000000"/>
          <w:sz w:val="20"/>
          <w:szCs w:val="20"/>
        </w:rPr>
        <w:t xml:space="preserve">The following derived parameters are computable from HR, SpO₂, and Temperature readings alone without raw PPG waveform access. These are the only derived parameters that should be used in model training with MAX30102 processed outputs.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600"/>
        <w:gridCol w:w="2560"/>
      </w:tblGrid>
      <w:tr>
        <w:tc>
          <w:tcPr>
            <w:tcW w:type="dxa" w:w="20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Parameter</w:t>
            </w:r>
          </w:p>
        </w:tc>
        <w:tc>
          <w:tcPr>
            <w:tcW w:type="dxa" w:w="30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Formula</w:t>
            </w:r>
          </w:p>
        </w:tc>
        <w:tc>
          <w:tcPr>
            <w:tcW w:type="dxa" w:w="160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Valid Range</w:t>
            </w:r>
          </w:p>
        </w:tc>
        <w:tc>
          <w:tcPr>
            <w:tcW w:type="dxa" w:w="2560"/>
            <w:gridSpan w:val="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Clinical Use</w:t>
            </w:r>
          </w:p>
        </w:tc>
      </w:tr>
      <w:tr>
        <w:tc>
          <w:tcPr>
            <w:tcW w:type="dxa" w:w="20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HRV (SDNN)</w:t>
            </w:r>
          </w:p>
        </w:tc>
        <w:tc>
          <w:tcPr>
            <w:tcW w:type="dxa" w:w="3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Std deviation of (60000/HR) over rolling 10-reading window. Requires beat-to-beat BPM from firmware, not smoothed average.</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0–200 ms</w:t>
            </w:r>
          </w:p>
        </w:tc>
        <w:tc>
          <w:tcPr>
            <w:tcW w:type="dxa" w:w="2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Autonomic stress. SDNN &lt;20ms = high stress/acute illness.</w:t>
            </w:r>
          </w:p>
        </w:tc>
      </w:tr>
      <w:tr>
        <w:tc>
          <w:tcPr>
            <w:tcW w:type="dxa" w:w="20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1F4E79"/>
                <w:sz w:val="18"/>
                <w:szCs w:val="18"/>
              </w:rPr>
              <w:t xml:space="preserve">Metabolic Stress Index</w:t>
            </w:r>
          </w:p>
        </w:tc>
        <w:tc>
          <w:tcPr>
            <w:tcW w:type="dxa" w:w="3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((HR - baseline_HR)/baseline_HR + (Temp - baseline_Temp)/baseline_Temp) × 50. Baseline = first 5-min resting average.</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0–100</w:t>
            </w:r>
          </w:p>
        </w:tc>
        <w:tc>
          <w:tcPr>
            <w:tcW w:type="dxa" w:w="2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Infection/inflammation proxy. &gt;30 = moderate stress, &gt;60 = high stress.</w:t>
            </w:r>
          </w:p>
        </w:tc>
      </w:tr>
      <w:tr>
        <w:tc>
          <w:tcPr>
            <w:tcW w:type="dxa" w:w="20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Temp Rate of Change</w:t>
            </w:r>
          </w:p>
        </w:tc>
        <w:tc>
          <w:tcPr>
            <w:tcW w:type="dxa" w:w="3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(Temp_current - Temp_15min_ago) / 0.25. Unit: °C/hour.</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±10 °C/hr</w:t>
            </w:r>
          </w:p>
        </w:tc>
        <w:tc>
          <w:tcPr>
            <w:tcW w:type="dxa" w:w="2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Rising fever trajectory. &gt;2°C/hr = rapidly escalating fever.</w:t>
            </w:r>
          </w:p>
        </w:tc>
      </w:tr>
      <w:tr>
        <w:tc>
          <w:tcPr>
            <w:tcW w:type="dxa" w:w="20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1F4E79"/>
                <w:sz w:val="18"/>
                <w:szCs w:val="18"/>
              </w:rPr>
              <w:t xml:space="preserve">SpO₂ Desaturation Flag</w:t>
            </w:r>
          </w:p>
        </w:tc>
        <w:tc>
          <w:tcPr>
            <w:tcW w:type="dxa" w:w="3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TRUE if SpO₂ drops ≥3% from 5-reading moving average AND sustained for ≥2 consecutive readings.</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Boolean</w:t>
            </w:r>
          </w:p>
        </w:tc>
        <w:tc>
          <w:tcPr>
            <w:tcW w:type="dxa" w:w="2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Clinically significant desaturation vs sensor noise.</w:t>
            </w:r>
          </w:p>
        </w:tc>
      </w:tr>
      <w:tr>
        <w:tc>
          <w:tcPr>
            <w:tcW w:type="dxa" w:w="20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Deterioration Trend</w:t>
            </w:r>
          </w:p>
        </w:tc>
        <w:tc>
          <w:tcPr>
            <w:tcW w:type="dxa" w:w="3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Linear regression slope (polyfit) over last 6 readings for HR and SpO₂. Deteriorating = HR slope &gt;2 AND SpO₂ slope &lt;-0.5.</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Categorical: improving / stable / deteriorating</w:t>
            </w:r>
          </w:p>
        </w:tc>
        <w:tc>
          <w:tcPr>
            <w:tcW w:type="dxa" w:w="2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Primary AI input for predictive alert generation.</w:t>
            </w:r>
          </w:p>
        </w:tc>
      </w:tr>
      <w:tr>
        <w:tc>
          <w:tcPr>
            <w:tcW w:type="dxa" w:w="20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1F4E79"/>
                <w:sz w:val="18"/>
                <w:szCs w:val="18"/>
              </w:rPr>
              <w:t xml:space="preserve">Partial NEWS2 Score</w:t>
            </w:r>
          </w:p>
        </w:tc>
        <w:tc>
          <w:tcPr>
            <w:tcW w:type="dxa" w:w="3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Sum of HR score + SpO₂ score + Temp score from Section 3. Maximum possible = 8 (3+3+2). Label output as "Partial NEWS2."</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0–8</w:t>
            </w:r>
          </w:p>
        </w:tc>
        <w:tc>
          <w:tcPr>
            <w:tcW w:type="dxa" w:w="2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Clinical severity index. Comparable to full NEWS2 if offset for missing RR.</w:t>
            </w:r>
          </w:p>
        </w:tc>
      </w:tr>
      <w:tr>
        <w:tc>
          <w:tcPr>
            <w:tcW w:type="dxa" w:w="2000"/>
            <w:gridSpan w:val="1"/>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left"/>
            </w:pPr>
            <w:r>
              <w:rPr>
                <w:rFonts w:ascii="Arial" w:cs="Arial" w:eastAsia="Arial" w:hAnsi="Arial"/>
                <w:b/>
                <w:bCs/>
                <w:color w:val="1F4E79"/>
                <w:sz w:val="18"/>
                <w:szCs w:val="18"/>
              </w:rPr>
              <w:t xml:space="preserve">SIRS 2-Parameter Check</w:t>
            </w:r>
          </w:p>
        </w:tc>
        <w:tc>
          <w:tcPr>
            <w:tcW w:type="dxa" w:w="3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TRUE if HR &gt; age_upper_normal AND (Temp &gt; 38.3 OR Temp &lt; 36.0).</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Boolean</w:t>
            </w:r>
          </w:p>
        </w:tc>
        <w:tc>
          <w:tcPr>
            <w:tcW w:type="dxa" w:w="2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Sepsis screening flag. Positive = clinical review required.</w:t>
            </w:r>
          </w:p>
        </w:tc>
      </w:tr>
      <w:tr>
        <w:tc>
          <w:tcPr>
            <w:tcW w:type="dxa" w:w="20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color w:val="1F4E79"/>
                <w:sz w:val="18"/>
                <w:szCs w:val="18"/>
              </w:rPr>
              <w:t xml:space="preserve">O₂-Temp Composite Index</w:t>
            </w:r>
          </w:p>
        </w:tc>
        <w:tc>
          <w:tcPr>
            <w:tcW w:type="dxa" w:w="3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(100 - SpO₂) × (Temp - 37.0). Positive value = hypoxia with fever. Higher = more concerning combined state.</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0 to 200</w:t>
            </w:r>
          </w:p>
        </w:tc>
        <w:tc>
          <w:tcPr>
            <w:tcW w:type="dxa" w:w="2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Simultaneous hypoxia + fever = pneumonia/sepsis pattern.</w:t>
            </w:r>
          </w:p>
        </w:tc>
      </w:tr>
    </w:tbl>
    <w:p>
      <w:pPr>
        <w:spacing w:before="40" w:after="100"/>
      </w:pPr>
      <w:r>
        <w:rPr>
          <w:rFonts w:ascii="Arial" w:cs="Arial" w:eastAsia="Arial" w:hAnsi="Arial"/>
          <w:color w:val="595959"/>
          <w:sz w:val="16"/>
          <w:szCs w:val="16"/>
        </w:rPr>
        <w:t xml:space="preserve">Source: HRV: Task Force of the European Society of Cardiology 1996 · SDNN clinical significance: Kleiger et al., Am J Cardiol 1987</w:t>
      </w:r>
    </w:p>
    <w:p>
      <w:r>
        <w:br w:type="page"/>
      </w:r>
    </w:p>
    <w:p>
      <w:pPr>
        <w:pStyle w:val="Heading1"/>
        <w:spacing w:before="360" w:after="120"/>
      </w:pPr>
      <w:r>
        <w:rPr>
          <w:rFonts w:ascii="Arial" w:cs="Arial" w:eastAsia="Arial" w:hAnsi="Arial"/>
          <w:b/>
          <w:bCs/>
          <w:color w:val="1F4E79"/>
          <w:sz w:val="36"/>
          <w:szCs w:val="36"/>
        </w:rPr>
        <w:t xml:space="preserve">SECTION 9: INDIA-SPECIFIC POPULATION ADJUSTMENTS</w:t>
      </w:r>
    </w:p>
    <w:p>
      <w:pPr>
        <w:spacing w:before="60" w:after="60"/>
      </w:pPr>
      <w:r>
        <w:rPr>
          <w:rFonts w:ascii="Arial" w:cs="Arial" w:eastAsia="Arial" w:hAnsi="Arial"/>
          <w:b w:val="false"/>
          <w:bCs w:val="false"/>
          <w:color w:val="000000"/>
          <w:sz w:val="20"/>
          <w:szCs w:val="20"/>
        </w:rPr>
        <w:t xml:space="preserve">Indian populations have clinically validated differences in metabolic and cardiovascular risk profiles compared to Western populations. Models trained exclusively on MIMIC-IV (US patients) will underperform on Indian patients without the following adjustments.</w:t>
      </w:r>
    </w:p>
    <w:p>
      <w:pPr>
        <w:spacing w:before="40" w:after="100"/>
      </w:pPr>
      <w:r>
        <w:rPr>
          <w:rFonts w:ascii="Arial" w:cs="Arial" w:eastAsia="Arial" w:hAnsi="Arial"/>
          <w:color w:val="595959"/>
          <w:sz w:val="16"/>
          <w:szCs w:val="16"/>
        </w:rPr>
        <w:t xml:space="preserve">Source: ICMR Guidelines · WHO Asian BMI Cutoffs · Mohan V, JAPI 2011 · Anand SS, Lancet 2008 · NFHS-5 2019–2021</w:t>
      </w:r>
    </w:p>
    <w:p>
      <w:pPr>
        <w:pStyle w:val="Heading2"/>
        <w:spacing w:before="280" w:after="80"/>
      </w:pPr>
      <w:r>
        <w:rPr>
          <w:rFonts w:ascii="Arial" w:cs="Arial" w:eastAsia="Arial" w:hAnsi="Arial"/>
          <w:b/>
          <w:bCs/>
          <w:color w:val="2E75B6"/>
          <w:sz w:val="28"/>
          <w:szCs w:val="28"/>
        </w:rPr>
        <w:t xml:space="preserve">9.1 BMI Cutoff Differences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360"/>
      </w:tblGrid>
      <w:tr>
        <w:tc>
          <w:tcPr>
            <w:tcW w:type="dxa" w:w="2400"/>
            <w:gridSpan w:val="1"/>
            <w:tcBorders>
              <w:top w:val="single" w:color="BBBBBB" w:sz="1"/>
              <w:left w:val="single" w:color="BBBBBB" w:sz="1"/>
              <w:bottom w:val="single" w:color="BBBBBB" w:sz="1"/>
              <w:right w:val="single" w:color="BBBBBB" w:sz="1"/>
            </w:tcBorders>
            <w:shd w:fill="1E462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Category</w:t>
            </w:r>
          </w:p>
        </w:tc>
        <w:tc>
          <w:tcPr>
            <w:tcW w:type="dxa" w:w="2400"/>
            <w:gridSpan w:val="1"/>
            <w:tcBorders>
              <w:top w:val="single" w:color="BBBBBB" w:sz="1"/>
              <w:left w:val="single" w:color="BBBBBB" w:sz="1"/>
              <w:bottom w:val="single" w:color="BBBBBB" w:sz="1"/>
              <w:right w:val="single" w:color="BBBBBB" w:sz="1"/>
            </w:tcBorders>
            <w:shd w:fill="1E462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WHO Western Cutoff</w:t>
            </w:r>
          </w:p>
        </w:tc>
        <w:tc>
          <w:tcPr>
            <w:tcW w:type="dxa" w:w="4360"/>
            <w:gridSpan w:val="1"/>
            <w:tcBorders>
              <w:top w:val="single" w:color="BBBBBB" w:sz="1"/>
              <w:left w:val="single" w:color="BBBBBB" w:sz="1"/>
              <w:bottom w:val="single" w:color="BBBBBB" w:sz="1"/>
              <w:right w:val="single" w:color="BBBBBB" w:sz="1"/>
            </w:tcBorders>
            <w:shd w:fill="1E462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WHO Asian / Indian Cutoff (Use This)</w:t>
            </w:r>
          </w:p>
        </w:tc>
      </w:tr>
      <w:tr>
        <w:tc>
          <w:tcPr>
            <w:tcW w:type="dxa" w:w="2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Normal</w:t>
            </w:r>
          </w:p>
        </w:tc>
        <w:tc>
          <w:tcPr>
            <w:tcW w:type="dxa" w:w="2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18.5–24.9</w:t>
            </w:r>
          </w:p>
        </w:tc>
        <w:tc>
          <w:tcPr>
            <w:tcW w:type="dxa" w:w="4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18.5–22.9 (lower upper bound)</w:t>
            </w:r>
          </w:p>
        </w:tc>
      </w:tr>
      <w:tr>
        <w:tc>
          <w:tcPr>
            <w:tcW w:type="dxa" w:w="2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Overweight</w:t>
            </w:r>
          </w:p>
        </w:tc>
        <w:tc>
          <w:tcPr>
            <w:tcW w:type="dxa" w:w="2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25.0–29.9</w:t>
            </w:r>
          </w:p>
        </w:tc>
        <w:tc>
          <w:tcPr>
            <w:tcW w:type="dxa" w:w="4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BF8F00"/>
                <w:sz w:val="18"/>
                <w:szCs w:val="18"/>
              </w:rPr>
              <w:t xml:space="preserve">23.0–27.4 (risk begins earlier)</w:t>
            </w:r>
          </w:p>
        </w:tc>
      </w:tr>
      <w:tr>
        <w:tc>
          <w:tcPr>
            <w:tcW w:type="dxa" w:w="2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Obese</w:t>
            </w:r>
          </w:p>
        </w:tc>
        <w:tc>
          <w:tcPr>
            <w:tcW w:type="dxa" w:w="2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≥30.0</w:t>
            </w:r>
          </w:p>
        </w:tc>
        <w:tc>
          <w:tcPr>
            <w:tcW w:type="dxa" w:w="4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C00000"/>
                <w:sz w:val="18"/>
                <w:szCs w:val="18"/>
              </w:rPr>
              <w:t xml:space="preserve">≥27.5 (lower obesity threshold)</w:t>
            </w:r>
          </w:p>
        </w:tc>
      </w:tr>
    </w:tbl>
    <w:p>
      <w:pPr>
        <w:spacing w:before="60" w:after="60"/>
      </w:pPr>
      <w:r>
        <w:rPr>
          <w:rFonts w:ascii="Arial" w:cs="Arial" w:eastAsia="Arial" w:hAnsi="Arial"/>
          <w:b w:val="false"/>
          <w:bCs w:val="false"/>
          <w:color w:val="000000"/>
          <w:sz w:val="20"/>
          <w:szCs w:val="20"/>
        </w:rPr>
        <w:t xml:space="preserve"/>
      </w:r>
    </w:p>
    <w:p>
      <w:pPr>
        <w:pStyle w:val="Heading2"/>
        <w:spacing w:before="280" w:after="80"/>
      </w:pPr>
      <w:r>
        <w:rPr>
          <w:rFonts w:ascii="Arial" w:cs="Arial" w:eastAsia="Arial" w:hAnsi="Arial"/>
          <w:b/>
          <w:bCs/>
          <w:color w:val="2E75B6"/>
          <w:sz w:val="28"/>
          <w:szCs w:val="28"/>
        </w:rPr>
        <w:t xml:space="preserve">9.2 Disease Prevalence Differences Affecting Baseline Vitals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760"/>
      </w:tblGrid>
      <w:tr>
        <w:tc>
          <w:tcPr>
            <w:tcW w:type="dxa" w:w="2200"/>
            <w:gridSpan w:val="1"/>
            <w:tcBorders>
              <w:top w:val="single" w:color="BBBBBB" w:sz="1"/>
              <w:left w:val="single" w:color="BBBBBB" w:sz="1"/>
              <w:bottom w:val="single" w:color="BBBBBB" w:sz="1"/>
              <w:right w:val="single" w:color="BBBBBB" w:sz="1"/>
            </w:tcBorders>
            <w:shd w:fill="1E462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Condition</w:t>
            </w:r>
          </w:p>
        </w:tc>
        <w:tc>
          <w:tcPr>
            <w:tcW w:type="dxa" w:w="2200"/>
            <w:gridSpan w:val="1"/>
            <w:tcBorders>
              <w:top w:val="single" w:color="BBBBBB" w:sz="1"/>
              <w:left w:val="single" w:color="BBBBBB" w:sz="1"/>
              <w:bottom w:val="single" w:color="BBBBBB" w:sz="1"/>
              <w:right w:val="single" w:color="BBBBBB" w:sz="1"/>
            </w:tcBorders>
            <w:shd w:fill="1E462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Indian Prevalence</w:t>
            </w:r>
          </w:p>
        </w:tc>
        <w:tc>
          <w:tcPr>
            <w:tcW w:type="dxa" w:w="4760"/>
            <w:gridSpan w:val="1"/>
            <w:tcBorders>
              <w:top w:val="single" w:color="BBBBBB" w:sz="1"/>
              <w:left w:val="single" w:color="BBBBBB" w:sz="1"/>
              <w:bottom w:val="single" w:color="BBBBBB" w:sz="1"/>
              <w:right w:val="single" w:color="BBBBBB" w:sz="1"/>
            </w:tcBorders>
            <w:shd w:fill="1E462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Model Adjustment Required</w:t>
            </w:r>
          </w:p>
        </w:tc>
      </w:tr>
      <w:tr>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Type 2 Diabetes</w:t>
            </w:r>
          </w:p>
        </w:tc>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~11.4% (ICMR-INDIAB 2023)</w:t>
            </w:r>
          </w:p>
        </w:tc>
        <w:tc>
          <w:tcPr>
            <w:tcW w:type="dxa" w:w="47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Higher proportion of patients will have masked fever response and autonomic neuropathy affecting HR variability. Diabetes comorbidity weight should be higher than in Western models.</w:t>
            </w:r>
          </w:p>
        </w:tc>
      </w:tr>
      <w:tr>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Hypertension</w:t>
            </w:r>
          </w:p>
        </w:tc>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~28.5% adults (NFHS-5)</w:t>
            </w:r>
          </w:p>
        </w:tc>
        <w:tc>
          <w:tcPr>
            <w:tcW w:type="dxa" w:w="47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Significant proportion on beta-blockers — HR tachycardia threshold should be adjusted down for this subgroup. Ensure comorbidity flag is used.</w:t>
            </w:r>
          </w:p>
        </w:tc>
      </w:tr>
      <w:tr>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COPD</w:t>
            </w:r>
          </w:p>
        </w:tc>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~4.2% (BOLD Study India)</w:t>
            </w:r>
          </w:p>
        </w:tc>
        <w:tc>
          <w:tcPr>
            <w:tcW w:type="dxa" w:w="47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Biomass fuel exposure is primary cause in rural India (not smoking). SpO₂ baseline may be lower in this subgroup.</w:t>
            </w:r>
          </w:p>
        </w:tc>
      </w:tr>
      <w:tr>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Undernutrition</w:t>
            </w:r>
          </w:p>
        </w:tc>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~14.6% (NFHS-5)</w:t>
            </w:r>
          </w:p>
        </w:tc>
        <w:tc>
          <w:tcPr>
            <w:tcW w:type="dxa" w:w="47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Low BMI (&lt;18.5) is common in Indian elderly and rural populations. Hypothermia (Temp &lt;36°C) is more likely as a baseline. Adjust hypothermia alert threshold accordingly.</w:t>
            </w:r>
          </w:p>
        </w:tc>
      </w:tr>
    </w:tbl>
    <w:p>
      <w:r>
        <w:br w:type="page"/>
      </w:r>
    </w:p>
    <w:p>
      <w:pPr>
        <w:pStyle w:val="Heading1"/>
        <w:spacing w:before="360" w:after="120"/>
      </w:pPr>
      <w:r>
        <w:rPr>
          <w:rFonts w:ascii="Arial" w:cs="Arial" w:eastAsia="Arial" w:hAnsi="Arial"/>
          <w:b/>
          <w:bCs/>
          <w:color w:val="1F4E79"/>
          <w:sz w:val="36"/>
          <w:szCs w:val="36"/>
        </w:rPr>
        <w:t xml:space="preserve">SECTION 10: TRAINING DATA SCHEMA AND FIELD DEFINITIONS</w:t>
      </w:r>
    </w:p>
    <w:p>
      <w:pPr>
        <w:spacing w:before="60" w:after="60"/>
      </w:pPr>
      <w:r>
        <w:rPr>
          <w:rFonts w:ascii="Arial" w:cs="Arial" w:eastAsia="Arial" w:hAnsi="Arial"/>
          <w:b w:val="false"/>
          <w:bCs w:val="false"/>
          <w:color w:val="000000"/>
          <w:sz w:val="20"/>
          <w:szCs w:val="20"/>
        </w:rPr>
        <w:t xml:space="preserve">The following defines the complete expected schema for each training record. Every field is described with its data type, valid range, and the clinical rule it supports.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1600"/>
        <w:gridCol w:w="3960"/>
      </w:tblGrid>
      <w:tr>
        <w:tc>
          <w:tcPr>
            <w:tcW w:type="dxa" w:w="1800"/>
            <w:gridSpan w:val="1"/>
            <w:tcBorders>
              <w:top w:val="single" w:color="BBBBBB" w:sz="1"/>
              <w:left w:val="single" w:color="BBBBBB" w:sz="1"/>
              <w:bottom w:val="single" w:color="BBBBBB" w:sz="1"/>
              <w:right w:val="single" w:color="BBBBBB" w:sz="1"/>
            </w:tcBorders>
            <w:shd w:fill="3D1C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Field Name</w:t>
            </w:r>
          </w:p>
        </w:tc>
        <w:tc>
          <w:tcPr>
            <w:tcW w:type="dxa" w:w="1200"/>
            <w:gridSpan w:val="1"/>
            <w:tcBorders>
              <w:top w:val="single" w:color="BBBBBB" w:sz="1"/>
              <w:left w:val="single" w:color="BBBBBB" w:sz="1"/>
              <w:bottom w:val="single" w:color="BBBBBB" w:sz="1"/>
              <w:right w:val="single" w:color="BBBBBB" w:sz="1"/>
            </w:tcBorders>
            <w:shd w:fill="3D1C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1600"/>
            <w:gridSpan w:val="1"/>
            <w:tcBorders>
              <w:top w:val="single" w:color="BBBBBB" w:sz="1"/>
              <w:left w:val="single" w:color="BBBBBB" w:sz="1"/>
              <w:bottom w:val="single" w:color="BBBBBB" w:sz="1"/>
              <w:right w:val="single" w:color="BBBBBB" w:sz="1"/>
            </w:tcBorders>
            <w:shd w:fill="3D1C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Valid Range</w:t>
            </w:r>
          </w:p>
        </w:tc>
        <w:tc>
          <w:tcPr>
            <w:tcW w:type="dxa" w:w="1600"/>
            <w:gridSpan w:val="1"/>
            <w:tcBorders>
              <w:top w:val="single" w:color="BBBBBB" w:sz="1"/>
              <w:left w:val="single" w:color="BBBBBB" w:sz="1"/>
              <w:bottom w:val="single" w:color="BBBBBB" w:sz="1"/>
              <w:right w:val="single" w:color="BBBBBB" w:sz="1"/>
            </w:tcBorders>
            <w:shd w:fill="3D1C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Source</w:t>
            </w:r>
          </w:p>
        </w:tc>
        <w:tc>
          <w:tcPr>
            <w:tcW w:type="dxa" w:w="3960"/>
            <w:gridSpan w:val="1"/>
            <w:tcBorders>
              <w:top w:val="single" w:color="BBBBBB" w:sz="1"/>
              <w:left w:val="single" w:color="BBBBBB" w:sz="1"/>
              <w:bottom w:val="single" w:color="BBBBBB" w:sz="1"/>
              <w:right w:val="single" w:color="BBBBBB" w:sz="1"/>
            </w:tcBorders>
            <w:shd w:fill="3D1C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Notes</w:t>
            </w:r>
          </w:p>
        </w:tc>
      </w:tr>
      <w:tr>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timestamp</w:t>
            </w:r>
          </w:p>
        </w:tc>
        <w:tc>
          <w:tcPr>
            <w:tcW w:type="dxa" w:w="1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ISO 8601</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2020 – present</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NTP / Firebase</w:t>
            </w:r>
          </w:p>
        </w:tc>
        <w:tc>
          <w:tcPr>
            <w:tcW w:type="dxa" w:w="39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Unix epoch preferred. millis() from ESP32 is NOT a valid timestamp.</w:t>
            </w:r>
          </w:p>
        </w:tc>
      </w:tr>
      <w:tr>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patient_id</w:t>
            </w:r>
          </w:p>
        </w:tc>
        <w:tc>
          <w:tcPr>
            <w:tcW w:type="dxa" w:w="1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String</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Any</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System</w:t>
            </w:r>
          </w:p>
        </w:tc>
        <w:tc>
          <w:tcPr>
            <w:tcW w:type="dxa" w:w="39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Anonymised ID. Never store name or Aadhaar in the same table.</w:t>
            </w:r>
          </w:p>
        </w:tc>
      </w:tr>
      <w:tr>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age</w:t>
            </w:r>
          </w:p>
        </w:tc>
        <w:tc>
          <w:tcPr>
            <w:tcW w:type="dxa" w:w="1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Integer</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0 – 120</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Patient record</w:t>
            </w:r>
          </w:p>
        </w:tc>
        <w:tc>
          <w:tcPr>
            <w:tcW w:type="dxa" w:w="39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 years. Use 0 for neonates (add age_days field for &lt;1 year).</w:t>
            </w:r>
          </w:p>
        </w:tc>
      </w:tr>
      <w:tr>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age_group</w:t>
            </w:r>
          </w:p>
        </w:tc>
        <w:tc>
          <w:tcPr>
            <w:tcW w:type="dxa" w:w="1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Categorical</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See Section 1</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Derived</w:t>
            </w:r>
          </w:p>
        </w:tc>
        <w:tc>
          <w:tcPr>
            <w:tcW w:type="dxa" w:w="39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Must be derived from age at record creation, not stored separately.</w:t>
            </w:r>
          </w:p>
        </w:tc>
      </w:tr>
      <w:tr>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gender</w:t>
            </w:r>
          </w:p>
        </w:tc>
        <w:tc>
          <w:tcPr>
            <w:tcW w:type="dxa" w:w="1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Categorical</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 / F / Other</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Patient record</w:t>
            </w:r>
          </w:p>
        </w:tc>
        <w:tc>
          <w:tcPr>
            <w:tcW w:type="dxa" w:w="39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Used for BMI interpretation. Limited vital sign impact.</w:t>
            </w:r>
          </w:p>
        </w:tc>
      </w:tr>
      <w:tr>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bmi</w:t>
            </w:r>
          </w:p>
        </w:tc>
        <w:tc>
          <w:tcPr>
            <w:tcW w:type="dxa" w:w="1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Float</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10.0 – 70.0</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Calculated</w:t>
            </w:r>
          </w:p>
        </w:tc>
        <w:tc>
          <w:tcPr>
            <w:tcW w:type="dxa" w:w="39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Use Asian BMI cutoffs (Section 9). Flag &lt;18.5 as underweight.</w:t>
            </w:r>
          </w:p>
        </w:tc>
      </w:tr>
      <w:tr>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comorbidities</w:t>
            </w:r>
          </w:p>
        </w:tc>
        <w:tc>
          <w:tcPr>
            <w:tcW w:type="dxa" w:w="1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Array/String</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See Section 2</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Patient record</w:t>
            </w:r>
          </w:p>
        </w:tc>
        <w:tc>
          <w:tcPr>
            <w:tcW w:type="dxa" w:w="39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Comma-separated. Applied as adjustments to all threshold checks.</w:t>
            </w:r>
          </w:p>
        </w:tc>
      </w:tr>
      <w:tr>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activity_level</w:t>
            </w:r>
          </w:p>
        </w:tc>
        <w:tc>
          <w:tcPr>
            <w:tcW w:type="dxa" w:w="1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Categorical</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sedentary / light / moderate / active</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Sensor / self-report</w:t>
            </w:r>
          </w:p>
        </w:tc>
        <w:tc>
          <w:tcPr>
            <w:tcW w:type="dxa" w:w="39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HR interpretation depends heavily on activity. Active patient HR 120 BPM is not tachycardia.</w:t>
            </w:r>
          </w:p>
        </w:tc>
      </w:tr>
      <w:tr>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heartRate</w:t>
            </w:r>
          </w:p>
        </w:tc>
        <w:tc>
          <w:tcPr>
            <w:tcW w:type="dxa" w:w="1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Integer</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20 – 250 BPM</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MAX30102</w:t>
            </w:r>
          </w:p>
        </w:tc>
        <w:tc>
          <w:tcPr>
            <w:tcW w:type="dxa" w:w="39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Reject values outside 20–250 as sensor artifacts. Flag hrValid=false.</w:t>
            </w:r>
          </w:p>
        </w:tc>
      </w:tr>
      <w:tr>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spO2</w:t>
            </w:r>
          </w:p>
        </w:tc>
        <w:tc>
          <w:tcPr>
            <w:tcW w:type="dxa" w:w="1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Float</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70.0 – 100.0%</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MAX30102</w:t>
            </w:r>
          </w:p>
        </w:tc>
        <w:tc>
          <w:tcPr>
            <w:tcW w:type="dxa" w:w="39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Reject &lt;70% as likely artifact. Flag spo2Valid=false. Round to 1 decimal.</w:t>
            </w:r>
          </w:p>
        </w:tc>
      </w:tr>
      <w:tr>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temperature</w:t>
            </w:r>
          </w:p>
        </w:tc>
        <w:tc>
          <w:tcPr>
            <w:tcW w:type="dxa" w:w="1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Float</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30.0 – 44.0°C</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LM35</w:t>
            </w:r>
          </w:p>
        </w:tc>
        <w:tc>
          <w:tcPr>
            <w:tcW w:type="dxa" w:w="39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Apply calibration offset (Section hardware notes). Reject outside 30–44°C.</w:t>
            </w:r>
          </w:p>
        </w:tc>
      </w:tr>
      <w:tr>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hrv_sdnn</w:t>
            </w:r>
          </w:p>
        </w:tc>
        <w:tc>
          <w:tcPr>
            <w:tcW w:type="dxa" w:w="1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Float</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0 – 200 ms</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Derived</w:t>
            </w:r>
          </w:p>
        </w:tc>
        <w:tc>
          <w:tcPr>
            <w:tcW w:type="dxa" w:w="39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Only valid if firmware reports beat-to-beat BPM. Set null otherwise.</w:t>
            </w:r>
          </w:p>
        </w:tc>
      </w:tr>
      <w:tr>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metabolic_stress</w:t>
            </w:r>
          </w:p>
        </w:tc>
        <w:tc>
          <w:tcPr>
            <w:tcW w:type="dxa" w:w="1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Float</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0 – 100</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Derived</w:t>
            </w:r>
          </w:p>
        </w:tc>
        <w:tc>
          <w:tcPr>
            <w:tcW w:type="dxa" w:w="39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Requires personal baseline from first 5 minutes of session.</w:t>
            </w:r>
          </w:p>
        </w:tc>
      </w:tr>
      <w:tr>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news2_partial</w:t>
            </w:r>
          </w:p>
        </w:tc>
        <w:tc>
          <w:tcPr>
            <w:tcW w:type="dxa" w:w="1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Integer</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0 – 8</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Derived</w:t>
            </w:r>
          </w:p>
        </w:tc>
        <w:tc>
          <w:tcPr>
            <w:tcW w:type="dxa" w:w="39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Sum of HR + SpO₂ + Temp NEWS2 scores. Max 8 (RR absent).</w:t>
            </w:r>
          </w:p>
        </w:tc>
      </w:tr>
      <w:tr>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sirs_flag</w:t>
            </w:r>
          </w:p>
        </w:tc>
        <w:tc>
          <w:tcPr>
            <w:tcW w:type="dxa" w:w="1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Boolean</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True / False</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Derived</w:t>
            </w:r>
          </w:p>
        </w:tc>
        <w:tc>
          <w:tcPr>
            <w:tcW w:type="dxa" w:w="39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True if both 3-sensor SIRS criteria met simultaneously.</w:t>
            </w:r>
          </w:p>
        </w:tc>
      </w:tr>
      <w:tr>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deterioration_trend</w:t>
            </w:r>
          </w:p>
        </w:tc>
        <w:tc>
          <w:tcPr>
            <w:tcW w:type="dxa" w:w="1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Categorical</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improving / stable / deteriorating</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Derived</w:t>
            </w:r>
          </w:p>
        </w:tc>
        <w:tc>
          <w:tcPr>
            <w:tcW w:type="dxa" w:w="39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From polyfit over last 6 readings. Primary AI prediction feature.</w:t>
            </w:r>
          </w:p>
        </w:tc>
      </w:tr>
      <w:tr>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scenario / label</w:t>
            </w:r>
          </w:p>
        </w:tc>
        <w:tc>
          <w:tcPr>
            <w:tcW w:type="dxa" w:w="1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Categorical</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See Section 4</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Clinical label</w:t>
            </w:r>
          </w:p>
        </w:tc>
        <w:tc>
          <w:tcPr>
            <w:tcW w:type="dxa" w:w="39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Target variable for supervised learning. Must be assigned by clinician, not algorithm.</w:t>
            </w:r>
          </w:p>
        </w:tc>
      </w:tr>
    </w:tbl>
    <w:p>
      <w:r>
        <w:br w:type="page"/>
      </w:r>
    </w:p>
    <w:p>
      <w:pPr>
        <w:pStyle w:val="Heading1"/>
        <w:spacing w:before="360" w:after="120"/>
      </w:pPr>
      <w:r>
        <w:rPr>
          <w:rFonts w:ascii="Arial" w:cs="Arial" w:eastAsia="Arial" w:hAnsi="Arial"/>
          <w:b/>
          <w:bCs/>
          <w:color w:val="1F4E79"/>
          <w:sz w:val="36"/>
          <w:szCs w:val="36"/>
        </w:rPr>
        <w:t xml:space="preserve">SECTION 11: DATA QUALITY RULES AND REJECTION CRITERIA</w:t>
      </w:r>
    </w:p>
    <w:p>
      <w:pPr>
        <w:spacing w:before="60" w:after="60"/>
      </w:pPr>
      <w:r>
        <w:rPr>
          <w:rFonts w:ascii="Arial" w:cs="Arial" w:eastAsia="Arial" w:hAnsi="Arial"/>
          <w:b w:val="false"/>
          <w:bCs w:val="false"/>
          <w:color w:val="000000"/>
          <w:sz w:val="20"/>
          <w:szCs w:val="20"/>
        </w:rPr>
        <w:t xml:space="preserve">These rules must be applied before any data point enters the training pipeline or triggers a clinical alert. Bad data is worse than no data in a medical AI system.</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360"/>
      </w:tblGrid>
      <w:tr>
        <w:tc>
          <w:tcPr>
            <w:tcW w:type="dxa" w:w="2400"/>
            <w:gridSpan w:val="1"/>
            <w:tcBorders>
              <w:top w:val="single" w:color="BBBBBB" w:sz="1"/>
              <w:left w:val="single" w:color="BBBBBB" w:sz="1"/>
              <w:bottom w:val="single" w:color="BBBBBB" w:sz="1"/>
              <w:right w:val="single" w:color="BBBBBB" w:sz="1"/>
            </w:tcBorders>
            <w:shd w:fill="7B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Rejection Rule</w:t>
            </w:r>
          </w:p>
        </w:tc>
        <w:tc>
          <w:tcPr>
            <w:tcW w:type="dxa" w:w="2400"/>
            <w:gridSpan w:val="1"/>
            <w:tcBorders>
              <w:top w:val="single" w:color="BBBBBB" w:sz="1"/>
              <w:left w:val="single" w:color="BBBBBB" w:sz="1"/>
              <w:bottom w:val="single" w:color="BBBBBB" w:sz="1"/>
              <w:right w:val="single" w:color="BBBBBB" w:sz="1"/>
            </w:tcBorders>
            <w:shd w:fill="7B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Threshold</w:t>
            </w:r>
          </w:p>
        </w:tc>
        <w:tc>
          <w:tcPr>
            <w:tcW w:type="dxa" w:w="4360"/>
            <w:gridSpan w:val="1"/>
            <w:tcBorders>
              <w:top w:val="single" w:color="BBBBBB" w:sz="1"/>
              <w:left w:val="single" w:color="BBBBBB" w:sz="1"/>
              <w:bottom w:val="single" w:color="BBBBBB" w:sz="1"/>
              <w:right w:val="single" w:color="BBBBBB" w:sz="1"/>
            </w:tcBorders>
            <w:shd w:fill="7B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Reason</w:t>
            </w:r>
          </w:p>
        </w:tc>
      </w:tr>
      <w:tr>
        <w:tc>
          <w:tcPr>
            <w:tcW w:type="dxa" w:w="2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HR out of physiological range</w:t>
            </w:r>
          </w:p>
        </w:tc>
        <w:tc>
          <w:tcPr>
            <w:tcW w:type="dxa" w:w="2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C00000"/>
                <w:sz w:val="18"/>
                <w:szCs w:val="18"/>
              </w:rPr>
              <w:t xml:space="preserve">HR &lt; 20 or &gt; 250 BPM</w:t>
            </w:r>
          </w:p>
        </w:tc>
        <w:tc>
          <w:tcPr>
            <w:tcW w:type="dxa" w:w="4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Values outside this range are physiologically impossible and indicate sensor artifact or detached sensor.</w:t>
            </w:r>
          </w:p>
        </w:tc>
      </w:tr>
      <w:tr>
        <w:tc>
          <w:tcPr>
            <w:tcW w:type="dxa" w:w="2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SpO₂ out of range</w:t>
            </w:r>
          </w:p>
        </w:tc>
        <w:tc>
          <w:tcPr>
            <w:tcW w:type="dxa" w:w="2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C00000"/>
                <w:sz w:val="18"/>
                <w:szCs w:val="18"/>
              </w:rPr>
              <w:t xml:space="preserve">SpO₂ &lt; 70% or &gt; 100%</w:t>
            </w:r>
          </w:p>
        </w:tc>
        <w:tc>
          <w:tcPr>
            <w:tcW w:type="dxa" w:w="4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SpO₂ &lt;70% is non-survivable for extended periods and almost always a sensor artifact.</w:t>
            </w:r>
          </w:p>
        </w:tc>
      </w:tr>
      <w:tr>
        <w:tc>
          <w:tcPr>
            <w:tcW w:type="dxa" w:w="2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Temperature out of range</w:t>
            </w:r>
          </w:p>
        </w:tc>
        <w:tc>
          <w:tcPr>
            <w:tcW w:type="dxa" w:w="2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C00000"/>
                <w:sz w:val="18"/>
                <w:szCs w:val="18"/>
              </w:rPr>
              <w:t xml:space="preserve">Temp &lt; 30°C or &gt; 44°C</w:t>
            </w:r>
          </w:p>
        </w:tc>
        <w:tc>
          <w:tcPr>
            <w:tcW w:type="dxa" w:w="4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Outside human survival limits. Indicates disconnected or misread LM35.</w:t>
            </w:r>
          </w:p>
        </w:tc>
      </w:tr>
      <w:tr>
        <w:tc>
          <w:tcPr>
            <w:tcW w:type="dxa" w:w="2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Sensor validity flag false</w:t>
            </w:r>
          </w:p>
        </w:tc>
        <w:tc>
          <w:tcPr>
            <w:tcW w:type="dxa" w:w="2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C00000"/>
                <w:sz w:val="18"/>
                <w:szCs w:val="18"/>
              </w:rPr>
              <w:t xml:space="preserve">hrValid=0 or spo2Valid=0</w:t>
            </w:r>
          </w:p>
        </w:tc>
        <w:tc>
          <w:tcPr>
            <w:tcW w:type="dxa" w:w="4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MAX30102 maxim algorithm reports invalid when signal quality is insufficient. Always check these flags.</w:t>
            </w:r>
          </w:p>
        </w:tc>
      </w:tr>
      <w:tr>
        <w:tc>
          <w:tcPr>
            <w:tcW w:type="dxa" w:w="2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No finger detected</w:t>
            </w:r>
          </w:p>
        </w:tc>
        <w:tc>
          <w:tcPr>
            <w:tcW w:type="dxa" w:w="2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C00000"/>
                <w:sz w:val="18"/>
                <w:szCs w:val="18"/>
              </w:rPr>
              <w:t xml:space="preserve">IR value &lt; 50,000</w:t>
            </w:r>
          </w:p>
        </w:tc>
        <w:tc>
          <w:tcPr>
            <w:tcW w:type="dxa" w:w="4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IR below 50,000 means no finger on sensor. Reject entire reading.</w:t>
            </w:r>
          </w:p>
        </w:tc>
      </w:tr>
      <w:tr>
        <w:tc>
          <w:tcPr>
            <w:tcW w:type="dxa" w:w="2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Temperature not stabilised</w:t>
            </w:r>
          </w:p>
        </w:tc>
        <w:tc>
          <w:tcPr>
            <w:tcW w:type="dxa" w:w="2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C00000"/>
                <w:sz w:val="18"/>
                <w:szCs w:val="18"/>
              </w:rPr>
              <w:t xml:space="preserve">&lt; 60 seconds since finger detected</w:t>
            </w:r>
          </w:p>
        </w:tc>
        <w:tc>
          <w:tcPr>
            <w:tcW w:type="dxa" w:w="4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LM35 requires thermal equilibration time. Readings before 60 seconds are unreliable.</w:t>
            </w:r>
          </w:p>
        </w:tc>
      </w:tr>
      <w:tr>
        <w:tc>
          <w:tcPr>
            <w:tcW w:type="dxa" w:w="2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Timestamp invalid</w:t>
            </w:r>
          </w:p>
        </w:tc>
        <w:tc>
          <w:tcPr>
            <w:tcW w:type="dxa" w:w="2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C00000"/>
                <w:sz w:val="18"/>
                <w:szCs w:val="18"/>
              </w:rPr>
              <w:t xml:space="preserve">Timestamp = millis() value</w:t>
            </w:r>
          </w:p>
        </w:tc>
        <w:tc>
          <w:tcPr>
            <w:tcW w:type="dxa" w:w="4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millis() resets on reboot. Only Unix epoch NTP timestamps are valid for time-series analysis.</w:t>
            </w:r>
          </w:p>
        </w:tc>
      </w:tr>
      <w:tr>
        <w:tc>
          <w:tcPr>
            <w:tcW w:type="dxa" w:w="2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Implausible simultaneous values</w:t>
            </w:r>
          </w:p>
        </w:tc>
        <w:tc>
          <w:tcPr>
            <w:tcW w:type="dxa" w:w="2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C00000"/>
                <w:sz w:val="18"/>
                <w:szCs w:val="18"/>
              </w:rPr>
              <w:t xml:space="preserve">HR &gt; 200 AND SpO₂ &gt; 99% AND Temp &lt; 36°C</w:t>
            </w:r>
          </w:p>
        </w:tc>
        <w:tc>
          <w:tcPr>
            <w:tcW w:type="dxa" w:w="4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Physiologically implausible combination suggests multi-sensor artifact. Flag for review.</w:t>
            </w:r>
          </w:p>
        </w:tc>
      </w:tr>
    </w:tbl>
    <w:p>
      <w:pPr>
        <w:spacing w:before="60" w:after="60"/>
      </w:pPr>
      <w:r>
        <w:rPr>
          <w:rFonts w:ascii="Arial" w:cs="Arial" w:eastAsia="Arial" w:hAnsi="Arial"/>
          <w:b w:val="false"/>
          <w:bCs w:val="false"/>
          <w:color w:val="000000"/>
          <w:sz w:val="20"/>
          <w:szCs w:val="20"/>
        </w:rPr>
        <w:t xml:space="preserve"/>
      </w:r>
    </w:p>
    <w:p>
      <w:pPr>
        <w:pStyle w:val="Heading2"/>
        <w:spacing w:before="280" w:after="80"/>
      </w:pPr>
      <w:r>
        <w:rPr>
          <w:rFonts w:ascii="Arial" w:cs="Arial" w:eastAsia="Arial" w:hAnsi="Arial"/>
          <w:b/>
          <w:bCs/>
          <w:color w:val="2E75B6"/>
          <w:sz w:val="28"/>
          <w:szCs w:val="28"/>
        </w:rPr>
        <w:t xml:space="preserve">11.1 Minimum Data Requirements for Model Input</w:t>
      </w:r>
    </w:p>
    <w:p>
      <w:pPr>
        <w:pStyle w:val="ListParagraph"/>
        <w:numPr>
          <w:ilvl w:val="0"/>
          <w:numId w:val="2"/>
        </w:numPr>
        <w:spacing w:before="40" w:after="40"/>
      </w:pPr>
      <w:r>
        <w:rPr>
          <w:rFonts w:ascii="Arial" w:cs="Arial" w:eastAsia="Arial" w:hAnsi="Arial"/>
          <w:sz w:val="20"/>
          <w:szCs w:val="20"/>
        </w:rPr>
        <w:t xml:space="preserve">Minimum 3 consecutive valid readings before any alert is generated</w:t>
      </w:r>
    </w:p>
    <w:p>
      <w:pPr>
        <w:pStyle w:val="ListParagraph"/>
        <w:numPr>
          <w:ilvl w:val="0"/>
          <w:numId w:val="2"/>
        </w:numPr>
        <w:spacing w:before="40" w:after="40"/>
      </w:pPr>
      <w:r>
        <w:rPr>
          <w:rFonts w:ascii="Arial" w:cs="Arial" w:eastAsia="Arial" w:hAnsi="Arial"/>
          <w:sz w:val="20"/>
          <w:szCs w:val="20"/>
        </w:rPr>
        <w:t xml:space="preserve">Minimum 10 readings (approximately 90 seconds at 10-second intervals) before HRV SDNN is computed</w:t>
      </w:r>
    </w:p>
    <w:p>
      <w:pPr>
        <w:pStyle w:val="ListParagraph"/>
        <w:numPr>
          <w:ilvl w:val="0"/>
          <w:numId w:val="2"/>
        </w:numPr>
        <w:spacing w:before="40" w:after="40"/>
      </w:pPr>
      <w:r>
        <w:rPr>
          <w:rFonts w:ascii="Arial" w:cs="Arial" w:eastAsia="Arial" w:hAnsi="Arial"/>
          <w:sz w:val="20"/>
          <w:szCs w:val="20"/>
        </w:rPr>
        <w:t xml:space="preserve">Minimum 5-minute resting baseline before Metabolic Stress Index is computed</w:t>
      </w:r>
    </w:p>
    <w:p>
      <w:pPr>
        <w:pStyle w:val="ListParagraph"/>
        <w:numPr>
          <w:ilvl w:val="0"/>
          <w:numId w:val="2"/>
        </w:numPr>
        <w:spacing w:before="40" w:after="40"/>
      </w:pPr>
      <w:r>
        <w:rPr>
          <w:rFonts w:ascii="Arial" w:cs="Arial" w:eastAsia="Arial" w:hAnsi="Arial"/>
          <w:sz w:val="20"/>
          <w:szCs w:val="20"/>
        </w:rPr>
        <w:t xml:space="preserve">At least 6 readings required for deterioration trend calculation</w:t>
      </w:r>
    </w:p>
    <w:p>
      <w:pPr>
        <w:pStyle w:val="ListParagraph"/>
        <w:numPr>
          <w:ilvl w:val="0"/>
          <w:numId w:val="2"/>
        </w:numPr>
        <w:spacing w:before="40" w:after="40"/>
      </w:pPr>
      <w:r>
        <w:rPr>
          <w:rFonts w:ascii="Arial" w:cs="Arial" w:eastAsia="Arial" w:hAnsi="Arial"/>
          <w:sz w:val="20"/>
          <w:szCs w:val="20"/>
        </w:rPr>
        <w:t xml:space="preserve">All three vitals must be valid in the same reading for NEWS2 partial score computation</w:t>
      </w:r>
    </w:p>
    <w:p>
      <w:r>
        <w:br w:type="page"/>
      </w:r>
    </w:p>
    <w:p>
      <w:pPr>
        <w:pStyle w:val="Heading1"/>
        <w:spacing w:before="360" w:after="120"/>
      </w:pPr>
      <w:r>
        <w:rPr>
          <w:rFonts w:ascii="Arial" w:cs="Arial" w:eastAsia="Arial" w:hAnsi="Arial"/>
          <w:b/>
          <w:bCs/>
          <w:color w:val="1F4E79"/>
          <w:sz w:val="36"/>
          <w:szCs w:val="36"/>
        </w:rPr>
        <w:t xml:space="preserve">SECTION 12: COMPLETE REFERENCE LIST</w:t>
      </w:r>
    </w:p>
    <w:p>
      <w:pPr>
        <w:pStyle w:val="ListParagraph"/>
        <w:numPr>
          <w:ilvl w:val="0"/>
          <w:numId w:val="3"/>
        </w:numPr>
        <w:spacing w:before="40" w:after="40"/>
      </w:pPr>
      <w:r>
        <w:rPr>
          <w:rFonts w:ascii="Arial" w:cs="Arial" w:eastAsia="Arial" w:hAnsi="Arial"/>
          <w:sz w:val="18"/>
          <w:szCs w:val="18"/>
        </w:rPr>
        <w:t xml:space="preserve">Royal College of Physicians. National Early Warning Score (NEWS) 2: Standardising the assessment of acute-illness severity in the NHS. RCP, London, 2017.</w:t>
      </w:r>
    </w:p>
    <w:p>
      <w:pPr>
        <w:pStyle w:val="ListParagraph"/>
        <w:numPr>
          <w:ilvl w:val="0"/>
          <w:numId w:val="3"/>
        </w:numPr>
        <w:spacing w:before="40" w:after="40"/>
      </w:pPr>
      <w:r>
        <w:rPr>
          <w:rFonts w:ascii="Arial" w:cs="Arial" w:eastAsia="Arial" w:hAnsi="Arial"/>
          <w:sz w:val="18"/>
          <w:szCs w:val="18"/>
        </w:rPr>
        <w:t xml:space="preserve">Singer M, et al. The Third International Consensus Definitions for Sepsis and Septic Shock (Sepsis-3). JAMA. 2016;315(8):801–810.</w:t>
      </w:r>
    </w:p>
    <w:p>
      <w:pPr>
        <w:pStyle w:val="ListParagraph"/>
        <w:numPr>
          <w:ilvl w:val="0"/>
          <w:numId w:val="3"/>
        </w:numPr>
        <w:spacing w:before="40" w:after="40"/>
      </w:pPr>
      <w:r>
        <w:rPr>
          <w:rFonts w:ascii="Arial" w:cs="Arial" w:eastAsia="Arial" w:hAnsi="Arial"/>
          <w:sz w:val="18"/>
          <w:szCs w:val="18"/>
        </w:rPr>
        <w:t xml:space="preserve">Global Initiative for Chronic Obstructive Lung Disease (GOLD). Global Strategy for the Diagnosis, Management, and Prevention of COPD. 2023 Report.</w:t>
      </w:r>
    </w:p>
    <w:p>
      <w:pPr>
        <w:pStyle w:val="ListParagraph"/>
        <w:numPr>
          <w:ilvl w:val="0"/>
          <w:numId w:val="3"/>
        </w:numPr>
        <w:spacing w:before="40" w:after="40"/>
      </w:pPr>
      <w:r>
        <w:rPr>
          <w:rFonts w:ascii="Arial" w:cs="Arial" w:eastAsia="Arial" w:hAnsi="Arial"/>
          <w:sz w:val="18"/>
          <w:szCs w:val="18"/>
        </w:rPr>
        <w:t xml:space="preserve">Global Initiative for Asthma (GINA). Global Strategy for Asthma Management and Prevention. 2023 Update.</w:t>
      </w:r>
    </w:p>
    <w:p>
      <w:pPr>
        <w:pStyle w:val="ListParagraph"/>
        <w:numPr>
          <w:ilvl w:val="0"/>
          <w:numId w:val="3"/>
        </w:numPr>
        <w:spacing w:before="40" w:after="40"/>
      </w:pPr>
      <w:r>
        <w:rPr>
          <w:rFonts w:ascii="Arial" w:cs="Arial" w:eastAsia="Arial" w:hAnsi="Arial"/>
          <w:sz w:val="18"/>
          <w:szCs w:val="18"/>
        </w:rPr>
        <w:t xml:space="preserve">Evans L, et al. Surviving Sepsis Campaign: International Guidelines for Management of Sepsis and Septic Shock 2021. Intensive Care Med. 2021;47:1181–1247.</w:t>
      </w:r>
    </w:p>
    <w:p>
      <w:pPr>
        <w:pStyle w:val="ListParagraph"/>
        <w:numPr>
          <w:ilvl w:val="0"/>
          <w:numId w:val="3"/>
        </w:numPr>
        <w:spacing w:before="40" w:after="40"/>
      </w:pPr>
      <w:r>
        <w:rPr>
          <w:rFonts w:ascii="Arial" w:cs="Arial" w:eastAsia="Arial" w:hAnsi="Arial"/>
          <w:sz w:val="18"/>
          <w:szCs w:val="18"/>
        </w:rPr>
        <w:t xml:space="preserve">American Heart Association / American College of Cardiology. 2022 AHA/ACC Guideline for the Diagnosis and Management of Patients with Stable Coronary Artery Disease.</w:t>
      </w:r>
    </w:p>
    <w:p>
      <w:pPr>
        <w:pStyle w:val="ListParagraph"/>
        <w:numPr>
          <w:ilvl w:val="0"/>
          <w:numId w:val="3"/>
        </w:numPr>
        <w:spacing w:before="40" w:after="40"/>
      </w:pPr>
      <w:r>
        <w:rPr>
          <w:rFonts w:ascii="Arial" w:cs="Arial" w:eastAsia="Arial" w:hAnsi="Arial"/>
          <w:sz w:val="18"/>
          <w:szCs w:val="18"/>
        </w:rPr>
        <w:t xml:space="preserve">McDonagh TA, et al. 2021 ESC Guidelines for the Diagnosis and Treatment of Acute and Chronic Heart Failure. Eur Heart J. 2021;42(36):3599–3726.</w:t>
      </w:r>
    </w:p>
    <w:p>
      <w:pPr>
        <w:pStyle w:val="ListParagraph"/>
        <w:numPr>
          <w:ilvl w:val="0"/>
          <w:numId w:val="3"/>
        </w:numPr>
        <w:spacing w:before="40" w:after="40"/>
      </w:pPr>
      <w:r>
        <w:rPr>
          <w:rFonts w:ascii="Arial" w:cs="Arial" w:eastAsia="Arial" w:hAnsi="Arial"/>
          <w:sz w:val="18"/>
          <w:szCs w:val="18"/>
        </w:rPr>
        <w:t xml:space="preserve">American Diabetes Association. Standards of Medical Care in Diabetes 2023. Diabetes Care. 2023;46(Suppl 1).</w:t>
      </w:r>
    </w:p>
    <w:p>
      <w:pPr>
        <w:pStyle w:val="ListParagraph"/>
        <w:numPr>
          <w:ilvl w:val="0"/>
          <w:numId w:val="3"/>
        </w:numPr>
        <w:spacing w:before="40" w:after="40"/>
      </w:pPr>
      <w:r>
        <w:rPr>
          <w:rFonts w:ascii="Arial" w:cs="Arial" w:eastAsia="Arial" w:hAnsi="Arial"/>
          <w:sz w:val="18"/>
          <w:szCs w:val="18"/>
        </w:rPr>
        <w:t xml:space="preserve">Wedzicha JA, et al. Management of COPD Exacerbations: A European Respiratory Society/American Thoracic Society Guideline. Eur Respir J. 2017;49(3).</w:t>
      </w:r>
    </w:p>
    <w:p>
      <w:pPr>
        <w:pStyle w:val="ListParagraph"/>
        <w:numPr>
          <w:ilvl w:val="0"/>
          <w:numId w:val="3"/>
        </w:numPr>
        <w:spacing w:before="40" w:after="40"/>
      </w:pPr>
      <w:r>
        <w:rPr>
          <w:rFonts w:ascii="Arial" w:cs="Arial" w:eastAsia="Arial" w:hAnsi="Arial"/>
          <w:sz w:val="18"/>
          <w:szCs w:val="18"/>
        </w:rPr>
        <w:t xml:space="preserve">British Thoracic Society. Guidelines for the Management of Community Acquired Pneumonia in Adults. BTS, 2023.</w:t>
      </w:r>
    </w:p>
    <w:p>
      <w:pPr>
        <w:pStyle w:val="ListParagraph"/>
        <w:numPr>
          <w:ilvl w:val="0"/>
          <w:numId w:val="3"/>
        </w:numPr>
        <w:spacing w:before="40" w:after="40"/>
      </w:pPr>
      <w:r>
        <w:rPr>
          <w:rFonts w:ascii="Arial" w:cs="Arial" w:eastAsia="Arial" w:hAnsi="Arial"/>
          <w:sz w:val="18"/>
          <w:szCs w:val="18"/>
        </w:rPr>
        <w:t xml:space="preserve">World Health Organization. Pulse Oximetry Training Manual. WHO Press, Geneva, 2011.</w:t>
      </w:r>
    </w:p>
    <w:p>
      <w:pPr>
        <w:pStyle w:val="ListParagraph"/>
        <w:numPr>
          <w:ilvl w:val="0"/>
          <w:numId w:val="3"/>
        </w:numPr>
        <w:spacing w:before="40" w:after="40"/>
      </w:pPr>
      <w:r>
        <w:rPr>
          <w:rFonts w:ascii="Arial" w:cs="Arial" w:eastAsia="Arial" w:hAnsi="Arial"/>
          <w:sz w:val="18"/>
          <w:szCs w:val="18"/>
        </w:rPr>
        <w:t xml:space="preserve">NICE. Fever in under 5s: Assessment and Initial Management. Clinical Guideline CG160. NICE, London, 2021.</w:t>
      </w:r>
    </w:p>
    <w:p>
      <w:pPr>
        <w:pStyle w:val="ListParagraph"/>
        <w:numPr>
          <w:ilvl w:val="0"/>
          <w:numId w:val="3"/>
        </w:numPr>
        <w:spacing w:before="40" w:after="40"/>
      </w:pPr>
      <w:r>
        <w:rPr>
          <w:rFonts w:ascii="Arial" w:cs="Arial" w:eastAsia="Arial" w:hAnsi="Arial"/>
          <w:sz w:val="18"/>
          <w:szCs w:val="18"/>
        </w:rPr>
        <w:t xml:space="preserve">Advanced Paediatric Life Support Group. Advanced Paediatric Life Support: A Practical Approach to Emergencies. 8th Edition. Wiley-Blackwell, 2021.</w:t>
      </w:r>
    </w:p>
    <w:p>
      <w:pPr>
        <w:pStyle w:val="ListParagraph"/>
        <w:numPr>
          <w:ilvl w:val="0"/>
          <w:numId w:val="3"/>
        </w:numPr>
        <w:spacing w:before="40" w:after="40"/>
      </w:pPr>
      <w:r>
        <w:rPr>
          <w:rFonts w:ascii="Arial" w:cs="Arial" w:eastAsia="Arial" w:hAnsi="Arial"/>
          <w:sz w:val="18"/>
          <w:szCs w:val="18"/>
        </w:rPr>
        <w:t xml:space="preserve">American Heart Association. Pediatric Advanced Life Support (PALS) Provider Manual. 2020.</w:t>
      </w:r>
    </w:p>
    <w:p>
      <w:pPr>
        <w:pStyle w:val="ListParagraph"/>
        <w:numPr>
          <w:ilvl w:val="0"/>
          <w:numId w:val="3"/>
        </w:numPr>
        <w:spacing w:before="40" w:after="40"/>
      </w:pPr>
      <w:r>
        <w:rPr>
          <w:rFonts w:ascii="Arial" w:cs="Arial" w:eastAsia="Arial" w:hAnsi="Arial"/>
          <w:sz w:val="18"/>
          <w:szCs w:val="18"/>
        </w:rPr>
        <w:t xml:space="preserve">Task Force of the European Society of Cardiology and the North American Society of Pacing and Electrophysiology. Heart Rate Variability: Standards of Measurement. Circulation. 1996;93:1043–1065.</w:t>
      </w:r>
    </w:p>
    <w:p>
      <w:pPr>
        <w:pStyle w:val="ListParagraph"/>
        <w:numPr>
          <w:ilvl w:val="0"/>
          <w:numId w:val="3"/>
        </w:numPr>
        <w:spacing w:before="40" w:after="40"/>
      </w:pPr>
      <w:r>
        <w:rPr>
          <w:rFonts w:ascii="Arial" w:cs="Arial" w:eastAsia="Arial" w:hAnsi="Arial"/>
          <w:sz w:val="18"/>
          <w:szCs w:val="18"/>
        </w:rPr>
        <w:t xml:space="preserve">Kleiger RE, et al. Decreased Heart Rate Variability and Its Association with Increased Mortality after Acute Myocardial Infarction. Am J Cardiol. 1987;59(4):256–262.</w:t>
      </w:r>
    </w:p>
    <w:p>
      <w:pPr>
        <w:pStyle w:val="ListParagraph"/>
        <w:numPr>
          <w:ilvl w:val="0"/>
          <w:numId w:val="3"/>
        </w:numPr>
        <w:spacing w:before="40" w:after="40"/>
      </w:pPr>
      <w:r>
        <w:rPr>
          <w:rFonts w:ascii="Arial" w:cs="Arial" w:eastAsia="Arial" w:hAnsi="Arial"/>
          <w:sz w:val="18"/>
          <w:szCs w:val="18"/>
        </w:rPr>
        <w:t xml:space="preserve">WHO Expert Consultation. Appropriate Body-Mass Index for Asian Populations and Its Implications for Policy and Intervention Strategies. Lancet. 2004;363:157–163.</w:t>
      </w:r>
    </w:p>
    <w:p>
      <w:pPr>
        <w:pStyle w:val="ListParagraph"/>
        <w:numPr>
          <w:ilvl w:val="0"/>
          <w:numId w:val="3"/>
        </w:numPr>
        <w:spacing w:before="40" w:after="40"/>
      </w:pPr>
      <w:r>
        <w:rPr>
          <w:rFonts w:ascii="Arial" w:cs="Arial" w:eastAsia="Arial" w:hAnsi="Arial"/>
          <w:sz w:val="18"/>
          <w:szCs w:val="18"/>
        </w:rPr>
        <w:t xml:space="preserve">Anjana RM, et al. Prevalence of Diabetes and Prediabetes in 15 States of India: Results from the ICMR-INDIAB Population-Based Cross-Sectional Study. Lancet Diabetes Endocrinol. 2023.</w:t>
      </w:r>
    </w:p>
    <w:p>
      <w:pPr>
        <w:pStyle w:val="ListParagraph"/>
        <w:numPr>
          <w:ilvl w:val="0"/>
          <w:numId w:val="3"/>
        </w:numPr>
        <w:spacing w:before="40" w:after="40"/>
      </w:pPr>
      <w:r>
        <w:rPr>
          <w:rFonts w:ascii="Arial" w:cs="Arial" w:eastAsia="Arial" w:hAnsi="Arial"/>
          <w:sz w:val="18"/>
          <w:szCs w:val="18"/>
        </w:rPr>
        <w:t xml:space="preserve">National Family Health Survey (NFHS-5) 2019–2021. Ministry of Health and Family Welfare, Government of India.</w:t>
      </w:r>
    </w:p>
    <w:p>
      <w:pPr>
        <w:pStyle w:val="ListParagraph"/>
        <w:numPr>
          <w:ilvl w:val="0"/>
          <w:numId w:val="3"/>
        </w:numPr>
        <w:spacing w:before="40" w:after="40"/>
      </w:pPr>
      <w:r>
        <w:rPr>
          <w:rFonts w:ascii="Arial" w:cs="Arial" w:eastAsia="Arial" w:hAnsi="Arial"/>
          <w:sz w:val="18"/>
          <w:szCs w:val="18"/>
        </w:rPr>
        <w:t xml:space="preserve">Churpek MM, et al. Multicenter Comparison of Machine Learning Methods and Conventional Regression for Predicting Clinical Deterioration on the Wards. Crit Care Med. 2016;44(2):368–374.</w:t>
      </w:r>
    </w:p>
    <w:p>
      <w:pPr>
        <w:pStyle w:val="ListParagraph"/>
        <w:numPr>
          <w:ilvl w:val="0"/>
          <w:numId w:val="3"/>
        </w:numPr>
        <w:spacing w:before="40" w:after="40"/>
      </w:pPr>
      <w:r>
        <w:rPr>
          <w:rFonts w:ascii="Arial" w:cs="Arial" w:eastAsia="Arial" w:hAnsi="Arial"/>
          <w:sz w:val="18"/>
          <w:szCs w:val="18"/>
        </w:rPr>
        <w:t xml:space="preserve">India Digital Personal Data Protection Act (DPDPA) 2023. Ministry of Electronics and Information Technology, Government of India.</w:t>
      </w:r>
    </w:p>
    <w:p>
      <w:pPr>
        <w:pStyle w:val="ListParagraph"/>
        <w:numPr>
          <w:ilvl w:val="0"/>
          <w:numId w:val="3"/>
        </w:numPr>
        <w:spacing w:before="40" w:after="40"/>
      </w:pPr>
      <w:r>
        <w:rPr>
          <w:rFonts w:ascii="Arial" w:cs="Arial" w:eastAsia="Arial" w:hAnsi="Arial"/>
          <w:sz w:val="18"/>
          <w:szCs w:val="18"/>
        </w:rPr>
        <w:t xml:space="preserve">Central Drugs Standard Control Organisation (CDSCO). Medical Devices Rules 2017. Ministry of Health and Family Welfare, India.</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Smart Portable Patient Monitoring Device — Clinical Knowledge Base v1.0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6"/>
      <w:szCs w:val="36"/>
    </w:rPr>
  </w:style>
  <w:style w:type="paragraph" w:styleId="Heading2">
    <w:name w:val="Heading 2"/>
    <w:basedOn w:val="Normal"/>
    <w:next w:val="Normal"/>
    <w:qFormat/>
    <w:pPr>
      <w:spacing w:before="240" w:after="80"/>
      <w:outlineLvl w:val="1"/>
    </w:pPr>
    <w:rPr>
      <w:rFonts w:ascii="Arial" w:cs="Arial" w:eastAsia="Arial" w:hAnsi="Arial"/>
      <w:b/>
      <w:bCs/>
      <w:sz w:val="28"/>
      <w:szCs w:val="28"/>
    </w:rPr>
  </w:style>
  <w:style w:type="paragraph" w:styleId="Heading3">
    <w:name w:val="Heading 3"/>
    <w:basedOn w:val="Normal"/>
    <w:next w:val="Normal"/>
    <w:qFormat/>
    <w:pPr>
      <w:spacing w:before="160" w:after="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2026-03-22T08:07:10.255Z</dcterms:created>
  <dcterms:modified xsi:type="dcterms:W3CDTF">2026-03-22T08:07:10.301Z</dcterms:modified>
</cp:coreProperties>
</file>

<file path=docProps/custom.xml><?xml version="1.0" encoding="utf-8"?>
<Properties xmlns="http://schemas.openxmlformats.org/officeDocument/2006/custom-properties" xmlns:vt="http://schemas.openxmlformats.org/officeDocument/2006/docPropsVTypes"/>
</file>